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A1" w:rsidRPr="00EB29DE" w:rsidRDefault="001B1A4A">
      <w:pPr>
        <w:ind w:firstLine="510"/>
        <w:jc w:val="center"/>
        <w:rPr>
          <w:rFonts w:ascii="黑体" w:eastAsia="黑体"/>
          <w:sz w:val="44"/>
          <w:szCs w:val="44"/>
        </w:rPr>
      </w:pPr>
      <w:r w:rsidRPr="00EB29DE">
        <w:rPr>
          <w:rFonts w:ascii="黑体" w:eastAsia="黑体" w:hint="eastAsia"/>
          <w:sz w:val="44"/>
          <w:szCs w:val="44"/>
        </w:rPr>
        <w:t>201</w:t>
      </w:r>
      <w:r w:rsidR="008D6EDB" w:rsidRPr="00EB29DE">
        <w:rPr>
          <w:rFonts w:ascii="黑体" w:eastAsia="黑体" w:hint="eastAsia"/>
          <w:sz w:val="44"/>
          <w:szCs w:val="44"/>
        </w:rPr>
        <w:t>9</w:t>
      </w:r>
      <w:r w:rsidRPr="00EB29DE">
        <w:rPr>
          <w:rFonts w:ascii="黑体" w:eastAsia="黑体" w:hint="eastAsia"/>
          <w:sz w:val="44"/>
          <w:szCs w:val="44"/>
        </w:rPr>
        <w:t>年阿尔山市国民</w:t>
      </w:r>
    </w:p>
    <w:p w:rsidR="00985FBF" w:rsidRPr="00EB29DE" w:rsidRDefault="00985FBF" w:rsidP="00985FBF">
      <w:pPr>
        <w:ind w:firstLine="510"/>
        <w:jc w:val="center"/>
        <w:rPr>
          <w:rFonts w:ascii="黑体" w:eastAsia="黑体"/>
          <w:sz w:val="44"/>
          <w:szCs w:val="44"/>
        </w:rPr>
      </w:pPr>
      <w:r w:rsidRPr="00EB29DE">
        <w:rPr>
          <w:rFonts w:ascii="黑体" w:eastAsia="黑体" w:hint="eastAsia"/>
          <w:sz w:val="44"/>
          <w:szCs w:val="44"/>
        </w:rPr>
        <w:t>经济和社会发展统计公报</w:t>
      </w:r>
    </w:p>
    <w:p w:rsidR="007569A1" w:rsidRPr="00EB29DE" w:rsidRDefault="007569A1" w:rsidP="006204A6">
      <w:pPr>
        <w:rPr>
          <w:rFonts w:ascii="宋体"/>
          <w:sz w:val="28"/>
          <w:szCs w:val="28"/>
        </w:rPr>
      </w:pPr>
    </w:p>
    <w:p w:rsidR="007569A1" w:rsidRPr="00EB29DE" w:rsidRDefault="001B1A4A">
      <w:pPr>
        <w:ind w:firstLine="510"/>
        <w:jc w:val="center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阿尔山市统计局</w:t>
      </w:r>
    </w:p>
    <w:p w:rsidR="007569A1" w:rsidRPr="00EB29DE" w:rsidRDefault="001B1A4A">
      <w:pPr>
        <w:ind w:rightChars="-4" w:right="-9" w:firstLine="510"/>
        <w:jc w:val="center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（20</w:t>
      </w:r>
      <w:r w:rsidR="009B5F24" w:rsidRPr="00EB29DE">
        <w:rPr>
          <w:rFonts w:ascii="仿宋" w:eastAsia="仿宋" w:hAnsi="仿宋" w:hint="eastAsia"/>
          <w:sz w:val="32"/>
          <w:szCs w:val="32"/>
        </w:rPr>
        <w:t>20</w:t>
      </w:r>
      <w:r w:rsidRPr="00EB29DE">
        <w:rPr>
          <w:rFonts w:ascii="仿宋" w:eastAsia="仿宋" w:hAnsi="仿宋" w:hint="eastAsia"/>
          <w:sz w:val="32"/>
          <w:szCs w:val="32"/>
        </w:rPr>
        <w:t>年4月10日）</w:t>
      </w:r>
    </w:p>
    <w:p w:rsidR="007569A1" w:rsidRPr="00EB29DE" w:rsidRDefault="00603C0F" w:rsidP="000313D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29DE">
        <w:rPr>
          <w:rFonts w:ascii="仿宋_GB2312" w:eastAsia="仿宋_GB2312" w:hint="eastAsia"/>
          <w:sz w:val="32"/>
          <w:szCs w:val="32"/>
        </w:rPr>
        <w:t>2019年是新中国成立70周年，也是全面建成小康社会、实现第一个百年奋斗目标的关键一年。全市统筹推进“五位一体”总体布局，协调推进“四个全面”战略布局，坚持稳中求进工作总基调，按照“夯实基础、培育产业、改善民生、加快发展”的总体思路，立足生态谋发展、围绕旅游抓产业、突出特色树品牌、创新发展促提升，</w:t>
      </w:r>
      <w:r w:rsidR="00E9484E" w:rsidRPr="00EB29DE">
        <w:rPr>
          <w:rFonts w:ascii="仿宋" w:eastAsia="仿宋" w:hAnsi="仿宋" w:hint="eastAsia"/>
          <w:sz w:val="32"/>
          <w:szCs w:val="32"/>
        </w:rPr>
        <w:t>经济社会呈现出良好的发展势头</w:t>
      </w:r>
      <w:r w:rsidR="000F2410" w:rsidRPr="00EB29DE">
        <w:rPr>
          <w:rFonts w:ascii="仿宋" w:eastAsia="仿宋" w:hAnsi="仿宋" w:hint="eastAsia"/>
          <w:sz w:val="32"/>
          <w:szCs w:val="32"/>
        </w:rPr>
        <w:t>。</w:t>
      </w:r>
    </w:p>
    <w:p w:rsidR="007569A1" w:rsidRPr="00EB29DE" w:rsidRDefault="001B1A4A">
      <w:pPr>
        <w:spacing w:line="360" w:lineRule="auto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 w:rsidRPr="00EB29DE">
        <w:rPr>
          <w:rFonts w:ascii="仿宋" w:eastAsia="仿宋" w:hAnsi="仿宋" w:hint="eastAsia"/>
          <w:b/>
          <w:sz w:val="32"/>
          <w:szCs w:val="32"/>
        </w:rPr>
        <w:t>一、综合</w:t>
      </w:r>
    </w:p>
    <w:p w:rsidR="007569A1" w:rsidRPr="00EB29DE" w:rsidRDefault="001B1A4A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初步核算，全年地区生产总值按可比价格计算</w:t>
      </w:r>
      <w:r w:rsidR="000F2410" w:rsidRPr="00EB29DE">
        <w:rPr>
          <w:rFonts w:ascii="仿宋" w:eastAsia="仿宋" w:hAnsi="仿宋" w:hint="eastAsia"/>
          <w:sz w:val="32"/>
          <w:szCs w:val="32"/>
        </w:rPr>
        <w:t>同比</w:t>
      </w:r>
      <w:r w:rsidRPr="00EB29DE">
        <w:rPr>
          <w:rFonts w:ascii="仿宋" w:eastAsia="仿宋" w:hAnsi="仿宋" w:hint="eastAsia"/>
          <w:sz w:val="32"/>
          <w:szCs w:val="32"/>
        </w:rPr>
        <w:t>增长</w:t>
      </w:r>
      <w:r w:rsidR="000F2410" w:rsidRPr="00EB29DE">
        <w:rPr>
          <w:rFonts w:ascii="仿宋" w:eastAsia="仿宋" w:hAnsi="仿宋" w:hint="eastAsia"/>
          <w:sz w:val="32"/>
          <w:szCs w:val="32"/>
        </w:rPr>
        <w:t>6.5</w:t>
      </w:r>
      <w:r w:rsidRPr="00EB29DE">
        <w:rPr>
          <w:rFonts w:ascii="仿宋" w:eastAsia="仿宋" w:hAnsi="仿宋" w:hint="eastAsia"/>
          <w:sz w:val="32"/>
          <w:szCs w:val="32"/>
        </w:rPr>
        <w:t>%。其中，第一产业增加值</w:t>
      </w:r>
      <w:r w:rsidR="000F2410" w:rsidRPr="00EB29DE">
        <w:rPr>
          <w:rFonts w:ascii="仿宋" w:eastAsia="仿宋" w:hAnsi="仿宋" w:hint="eastAsia"/>
          <w:sz w:val="32"/>
          <w:szCs w:val="32"/>
        </w:rPr>
        <w:t>同比</w:t>
      </w:r>
      <w:r w:rsidRPr="00EB29DE">
        <w:rPr>
          <w:rFonts w:ascii="仿宋" w:eastAsia="仿宋" w:hAnsi="仿宋" w:hint="eastAsia"/>
          <w:sz w:val="32"/>
          <w:szCs w:val="32"/>
        </w:rPr>
        <w:t>增长</w:t>
      </w:r>
      <w:r w:rsidR="000F2410" w:rsidRPr="00EB29DE">
        <w:rPr>
          <w:rFonts w:ascii="仿宋" w:eastAsia="仿宋" w:hAnsi="仿宋" w:hint="eastAsia"/>
          <w:sz w:val="32"/>
          <w:szCs w:val="32"/>
        </w:rPr>
        <w:t>5.1</w:t>
      </w:r>
      <w:r w:rsidRPr="00EB29DE">
        <w:rPr>
          <w:rFonts w:ascii="仿宋" w:eastAsia="仿宋" w:hAnsi="仿宋" w:hint="eastAsia"/>
          <w:sz w:val="32"/>
          <w:szCs w:val="32"/>
        </w:rPr>
        <w:t>%；第二产业增加值</w:t>
      </w:r>
      <w:r w:rsidR="000F2410" w:rsidRPr="00EB29DE">
        <w:rPr>
          <w:rFonts w:ascii="仿宋" w:eastAsia="仿宋" w:hAnsi="仿宋" w:hint="eastAsia"/>
          <w:sz w:val="32"/>
          <w:szCs w:val="32"/>
        </w:rPr>
        <w:t>同比增长5.0</w:t>
      </w:r>
      <w:r w:rsidRPr="00EB29DE">
        <w:rPr>
          <w:rFonts w:ascii="仿宋" w:eastAsia="仿宋" w:hAnsi="仿宋" w:hint="eastAsia"/>
          <w:sz w:val="32"/>
          <w:szCs w:val="32"/>
        </w:rPr>
        <w:t>%；第三产业增加值</w:t>
      </w:r>
      <w:r w:rsidR="000F2410" w:rsidRPr="00EB29DE">
        <w:rPr>
          <w:rFonts w:ascii="仿宋" w:eastAsia="仿宋" w:hAnsi="仿宋" w:hint="eastAsia"/>
          <w:sz w:val="32"/>
          <w:szCs w:val="32"/>
        </w:rPr>
        <w:t>同比</w:t>
      </w:r>
      <w:r w:rsidRPr="00EB29DE">
        <w:rPr>
          <w:rFonts w:ascii="仿宋" w:eastAsia="仿宋" w:hAnsi="仿宋" w:hint="eastAsia"/>
          <w:sz w:val="32"/>
          <w:szCs w:val="32"/>
        </w:rPr>
        <w:t>增长</w:t>
      </w:r>
      <w:r w:rsidR="000F2410" w:rsidRPr="00EB29DE">
        <w:rPr>
          <w:rFonts w:ascii="仿宋" w:eastAsia="仿宋" w:hAnsi="仿宋" w:hint="eastAsia"/>
          <w:sz w:val="32"/>
          <w:szCs w:val="32"/>
        </w:rPr>
        <w:t>7.2</w:t>
      </w:r>
      <w:r w:rsidRPr="00EB29DE">
        <w:rPr>
          <w:rFonts w:ascii="仿宋" w:eastAsia="仿宋" w:hAnsi="仿宋" w:hint="eastAsia"/>
          <w:sz w:val="32"/>
          <w:szCs w:val="32"/>
        </w:rPr>
        <w:t>%。全市三次产业比例为</w:t>
      </w:r>
      <w:r w:rsidR="000F2410" w:rsidRPr="00EB29DE">
        <w:rPr>
          <w:rFonts w:ascii="仿宋" w:eastAsia="仿宋" w:hAnsi="仿宋" w:hint="eastAsia"/>
          <w:sz w:val="32"/>
          <w:szCs w:val="32"/>
        </w:rPr>
        <w:t>19.2:13.3:67.5</w:t>
      </w:r>
      <w:r w:rsidRPr="00EB29DE">
        <w:rPr>
          <w:rFonts w:ascii="仿宋" w:eastAsia="仿宋" w:hAnsi="仿宋" w:hint="eastAsia"/>
          <w:sz w:val="32"/>
          <w:szCs w:val="32"/>
        </w:rPr>
        <w:t>。按常住人口计算，全年人均地区生产总值</w:t>
      </w:r>
      <w:r w:rsidR="000F2410" w:rsidRPr="00EB29DE">
        <w:rPr>
          <w:rFonts w:ascii="仿宋" w:eastAsia="仿宋" w:hAnsi="仿宋" w:hint="eastAsia"/>
          <w:sz w:val="32"/>
          <w:szCs w:val="32"/>
        </w:rPr>
        <w:t>28327</w:t>
      </w:r>
      <w:r w:rsidRPr="00EB29DE">
        <w:rPr>
          <w:rFonts w:ascii="仿宋" w:eastAsia="仿宋" w:hAnsi="仿宋" w:hint="eastAsia"/>
          <w:sz w:val="32"/>
          <w:szCs w:val="32"/>
        </w:rPr>
        <w:t>元，</w:t>
      </w:r>
      <w:r w:rsidR="000F2410" w:rsidRPr="00EB29DE">
        <w:rPr>
          <w:rFonts w:ascii="仿宋" w:eastAsia="仿宋" w:hAnsi="仿宋" w:hint="eastAsia"/>
          <w:sz w:val="32"/>
          <w:szCs w:val="32"/>
        </w:rPr>
        <w:t>同比</w:t>
      </w:r>
      <w:r w:rsidRPr="00EB29DE">
        <w:rPr>
          <w:rFonts w:ascii="仿宋" w:eastAsia="仿宋" w:hAnsi="仿宋" w:hint="eastAsia"/>
          <w:sz w:val="32"/>
          <w:szCs w:val="32"/>
        </w:rPr>
        <w:t>增长</w:t>
      </w:r>
      <w:r w:rsidR="000F2410" w:rsidRPr="00EB29DE">
        <w:rPr>
          <w:rFonts w:ascii="仿宋" w:eastAsia="仿宋" w:hAnsi="仿宋" w:hint="eastAsia"/>
          <w:sz w:val="32"/>
          <w:szCs w:val="32"/>
        </w:rPr>
        <w:t>13.0</w:t>
      </w:r>
      <w:r w:rsidRPr="00EB29DE">
        <w:rPr>
          <w:rFonts w:ascii="仿宋" w:eastAsia="仿宋" w:hAnsi="仿宋" w:hint="eastAsia"/>
          <w:sz w:val="32"/>
          <w:szCs w:val="32"/>
        </w:rPr>
        <w:t>%。</w:t>
      </w:r>
    </w:p>
    <w:p w:rsidR="007569A1" w:rsidRPr="00EB29DE" w:rsidRDefault="000F2410">
      <w:r w:rsidRPr="00EB29DE"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5255895" cy="2613660"/>
            <wp:effectExtent l="19050" t="0" r="20515" b="0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69A1" w:rsidRPr="00EB29DE" w:rsidRDefault="007569A1"/>
    <w:p w:rsidR="007569A1" w:rsidRPr="00EB29DE" w:rsidRDefault="001B1A4A" w:rsidP="00326BE6">
      <w:pPr>
        <w:spacing w:line="360" w:lineRule="auto"/>
        <w:ind w:leftChars="100" w:left="22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全年城镇新增就业人数</w:t>
      </w:r>
      <w:r w:rsidR="008C4900" w:rsidRPr="00EB29DE">
        <w:rPr>
          <w:rFonts w:ascii="仿宋" w:eastAsia="仿宋" w:hAnsi="仿宋" w:hint="eastAsia"/>
          <w:sz w:val="32"/>
          <w:szCs w:val="32"/>
        </w:rPr>
        <w:t>753</w:t>
      </w:r>
      <w:r w:rsidRPr="00EB29DE">
        <w:rPr>
          <w:rFonts w:ascii="仿宋" w:eastAsia="仿宋" w:hAnsi="仿宋" w:hint="eastAsia"/>
          <w:sz w:val="32"/>
          <w:szCs w:val="32"/>
        </w:rPr>
        <w:t>人，比上年</w:t>
      </w:r>
      <w:r w:rsidR="008C4900" w:rsidRPr="00EB29DE">
        <w:rPr>
          <w:rFonts w:ascii="仿宋" w:eastAsia="仿宋" w:hAnsi="仿宋" w:hint="eastAsia"/>
          <w:sz w:val="32"/>
          <w:szCs w:val="32"/>
        </w:rPr>
        <w:t>增加253</w:t>
      </w:r>
      <w:r w:rsidRPr="00EB29DE">
        <w:rPr>
          <w:rFonts w:ascii="仿宋" w:eastAsia="仿宋" w:hAnsi="仿宋" w:hint="eastAsia"/>
          <w:sz w:val="32"/>
          <w:szCs w:val="32"/>
        </w:rPr>
        <w:t>人，城镇失业人员再就业</w:t>
      </w:r>
      <w:r w:rsidR="008C4900" w:rsidRPr="00EB29DE">
        <w:rPr>
          <w:rFonts w:ascii="仿宋" w:eastAsia="仿宋" w:hAnsi="仿宋" w:hint="eastAsia"/>
          <w:sz w:val="32"/>
          <w:szCs w:val="32"/>
        </w:rPr>
        <w:t>526</w:t>
      </w:r>
      <w:r w:rsidRPr="00EB29DE">
        <w:rPr>
          <w:rFonts w:ascii="仿宋" w:eastAsia="仿宋" w:hAnsi="仿宋" w:hint="eastAsia"/>
          <w:sz w:val="32"/>
          <w:szCs w:val="32"/>
        </w:rPr>
        <w:t>人。年末城镇登记失业率控制在</w:t>
      </w:r>
      <w:r w:rsidR="008C4900" w:rsidRPr="00EB29DE">
        <w:rPr>
          <w:rFonts w:ascii="仿宋" w:eastAsia="仿宋" w:hAnsi="仿宋" w:hint="eastAsia"/>
          <w:sz w:val="32"/>
          <w:szCs w:val="32"/>
        </w:rPr>
        <w:t>3.55</w:t>
      </w:r>
      <w:r w:rsidRPr="00EB29DE">
        <w:rPr>
          <w:rFonts w:ascii="仿宋" w:eastAsia="仿宋" w:hAnsi="仿宋" w:hint="eastAsia"/>
          <w:sz w:val="32"/>
          <w:szCs w:val="32"/>
        </w:rPr>
        <w:t>%以内。全年发放小额贷款</w:t>
      </w:r>
      <w:r w:rsidR="005D4536" w:rsidRPr="00EB29DE">
        <w:rPr>
          <w:rFonts w:ascii="仿宋" w:eastAsia="仿宋" w:hAnsi="仿宋" w:hint="eastAsia"/>
          <w:sz w:val="32"/>
          <w:szCs w:val="32"/>
        </w:rPr>
        <w:t>900</w:t>
      </w:r>
      <w:r w:rsidRPr="00EB29DE">
        <w:rPr>
          <w:rFonts w:ascii="仿宋" w:eastAsia="仿宋" w:hAnsi="仿宋" w:hint="eastAsia"/>
          <w:sz w:val="32"/>
          <w:szCs w:val="32"/>
        </w:rPr>
        <w:t>万元。</w:t>
      </w:r>
    </w:p>
    <w:p w:rsidR="007569A1" w:rsidRPr="00EB29DE" w:rsidRDefault="001B1A4A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全年完成一般公共</w:t>
      </w:r>
      <w:hyperlink r:id="rId9" w:tgtFrame="_blank" w:history="1">
        <w:r w:rsidRPr="00EB29DE">
          <w:rPr>
            <w:rFonts w:ascii="仿宋" w:eastAsia="仿宋" w:hAnsi="仿宋" w:hint="eastAsia"/>
            <w:sz w:val="32"/>
            <w:szCs w:val="32"/>
          </w:rPr>
          <w:t>预算</w:t>
        </w:r>
      </w:hyperlink>
      <w:r w:rsidRPr="00EB29DE">
        <w:rPr>
          <w:rFonts w:ascii="仿宋" w:eastAsia="仿宋" w:hAnsi="仿宋" w:hint="eastAsia"/>
          <w:sz w:val="32"/>
          <w:szCs w:val="32"/>
        </w:rPr>
        <w:t>收入</w:t>
      </w:r>
      <w:r w:rsidR="000F2410" w:rsidRPr="00EB29DE">
        <w:rPr>
          <w:rFonts w:ascii="仿宋" w:eastAsia="仿宋" w:hAnsi="仿宋" w:hint="eastAsia"/>
          <w:sz w:val="32"/>
          <w:szCs w:val="32"/>
        </w:rPr>
        <w:t>12604</w:t>
      </w:r>
      <w:r w:rsidRPr="00EB29DE">
        <w:rPr>
          <w:rFonts w:ascii="仿宋" w:eastAsia="仿宋" w:hAnsi="仿宋" w:hint="eastAsia"/>
          <w:sz w:val="32"/>
          <w:szCs w:val="32"/>
        </w:rPr>
        <w:t>万元，比上年增长</w:t>
      </w:r>
      <w:r w:rsidR="000F2410" w:rsidRPr="00EB29DE">
        <w:rPr>
          <w:rFonts w:ascii="仿宋" w:eastAsia="仿宋" w:hAnsi="仿宋" w:hint="eastAsia"/>
          <w:sz w:val="32"/>
          <w:szCs w:val="32"/>
        </w:rPr>
        <w:t>3.2</w:t>
      </w:r>
      <w:r w:rsidRPr="00EB29DE">
        <w:rPr>
          <w:rFonts w:ascii="仿宋" w:eastAsia="仿宋" w:hAnsi="仿宋" w:hint="eastAsia"/>
          <w:sz w:val="32"/>
          <w:szCs w:val="32"/>
        </w:rPr>
        <w:t>%。一般公共预算支出</w:t>
      </w:r>
      <w:r w:rsidR="000F2410" w:rsidRPr="00EB29DE">
        <w:rPr>
          <w:rFonts w:ascii="仿宋" w:eastAsia="仿宋" w:hAnsi="仿宋" w:hint="eastAsia"/>
          <w:sz w:val="32"/>
          <w:szCs w:val="32"/>
        </w:rPr>
        <w:t>172115</w:t>
      </w:r>
      <w:r w:rsidRPr="00EB29DE">
        <w:rPr>
          <w:rFonts w:ascii="仿宋" w:eastAsia="仿宋" w:hAnsi="仿宋" w:hint="eastAsia"/>
          <w:sz w:val="32"/>
          <w:szCs w:val="32"/>
        </w:rPr>
        <w:t>万元，比上年增长</w:t>
      </w:r>
      <w:r w:rsidR="000F2410" w:rsidRPr="00EB29DE">
        <w:rPr>
          <w:rFonts w:ascii="仿宋" w:eastAsia="仿宋" w:hAnsi="仿宋" w:hint="eastAsia"/>
          <w:sz w:val="32"/>
          <w:szCs w:val="32"/>
        </w:rPr>
        <w:t>14.2</w:t>
      </w:r>
      <w:r w:rsidRPr="00EB29DE">
        <w:rPr>
          <w:rFonts w:ascii="仿宋" w:eastAsia="仿宋" w:hAnsi="仿宋" w:hint="eastAsia"/>
          <w:sz w:val="32"/>
          <w:szCs w:val="32"/>
        </w:rPr>
        <w:t>%。其中:教育支出</w:t>
      </w:r>
      <w:r w:rsidR="000F2410" w:rsidRPr="00EB29DE">
        <w:rPr>
          <w:rFonts w:ascii="仿宋" w:eastAsia="仿宋" w:hAnsi="仿宋" w:hint="eastAsia"/>
          <w:sz w:val="32"/>
          <w:szCs w:val="32"/>
        </w:rPr>
        <w:t>7034</w:t>
      </w:r>
      <w:r w:rsidRPr="00EB29DE">
        <w:rPr>
          <w:rFonts w:ascii="仿宋" w:eastAsia="仿宋" w:hAnsi="仿宋" w:hint="eastAsia"/>
          <w:sz w:val="32"/>
          <w:szCs w:val="32"/>
        </w:rPr>
        <w:t>万元，</w:t>
      </w:r>
      <w:r w:rsidR="00020DE9" w:rsidRPr="00EB29DE">
        <w:rPr>
          <w:rFonts w:ascii="仿宋" w:eastAsia="仿宋" w:hAnsi="仿宋" w:hint="eastAsia"/>
          <w:sz w:val="32"/>
          <w:szCs w:val="32"/>
        </w:rPr>
        <w:t>城乡社区支出36092</w:t>
      </w:r>
      <w:r w:rsidRPr="00EB29DE">
        <w:rPr>
          <w:rFonts w:ascii="仿宋" w:eastAsia="仿宋" w:hAnsi="仿宋" w:hint="eastAsia"/>
          <w:sz w:val="32"/>
          <w:szCs w:val="32"/>
        </w:rPr>
        <w:t>万元，社会保障和就业支出</w:t>
      </w:r>
      <w:r w:rsidR="000F2410" w:rsidRPr="00EB29DE">
        <w:rPr>
          <w:rFonts w:ascii="仿宋" w:eastAsia="仿宋" w:hAnsi="仿宋" w:hint="eastAsia"/>
          <w:sz w:val="32"/>
          <w:szCs w:val="32"/>
        </w:rPr>
        <w:t>8900</w:t>
      </w:r>
      <w:r w:rsidRPr="00EB29DE">
        <w:rPr>
          <w:rFonts w:ascii="仿宋" w:eastAsia="仿宋" w:hAnsi="仿宋" w:hint="eastAsia"/>
          <w:sz w:val="32"/>
          <w:szCs w:val="32"/>
        </w:rPr>
        <w:t>万元，医疗卫生支出</w:t>
      </w:r>
      <w:r w:rsidR="000F2410" w:rsidRPr="00EB29DE">
        <w:rPr>
          <w:rFonts w:ascii="仿宋" w:eastAsia="仿宋" w:hAnsi="仿宋" w:hint="eastAsia"/>
          <w:sz w:val="32"/>
          <w:szCs w:val="32"/>
        </w:rPr>
        <w:t>3845</w:t>
      </w:r>
      <w:r w:rsidRPr="00EB29DE">
        <w:rPr>
          <w:rFonts w:ascii="仿宋" w:eastAsia="仿宋" w:hAnsi="仿宋" w:hint="eastAsia"/>
          <w:sz w:val="32"/>
          <w:szCs w:val="32"/>
        </w:rPr>
        <w:t>万元，节能环保支出</w:t>
      </w:r>
      <w:r w:rsidR="000F2410" w:rsidRPr="00EB29DE">
        <w:rPr>
          <w:rFonts w:ascii="仿宋" w:eastAsia="仿宋" w:hAnsi="仿宋" w:hint="eastAsia"/>
          <w:sz w:val="32"/>
          <w:szCs w:val="32"/>
        </w:rPr>
        <w:t>7723</w:t>
      </w:r>
      <w:r w:rsidRPr="00EB29DE">
        <w:rPr>
          <w:rFonts w:ascii="仿宋" w:eastAsia="仿宋" w:hAnsi="仿宋" w:hint="eastAsia"/>
          <w:sz w:val="32"/>
          <w:szCs w:val="32"/>
        </w:rPr>
        <w:t>万元,</w:t>
      </w:r>
      <w:r w:rsidR="00020DE9" w:rsidRPr="00EB29DE">
        <w:rPr>
          <w:rFonts w:ascii="仿宋" w:eastAsia="仿宋" w:hAnsi="仿宋" w:hint="eastAsia"/>
          <w:sz w:val="32"/>
          <w:szCs w:val="32"/>
        </w:rPr>
        <w:t>一般公共服务</w:t>
      </w:r>
      <w:r w:rsidRPr="00EB29DE">
        <w:rPr>
          <w:rFonts w:ascii="仿宋" w:eastAsia="仿宋" w:hAnsi="仿宋" w:hint="eastAsia"/>
          <w:sz w:val="32"/>
          <w:szCs w:val="32"/>
        </w:rPr>
        <w:t>支出</w:t>
      </w:r>
      <w:r w:rsidR="00020DE9" w:rsidRPr="00EB29DE">
        <w:rPr>
          <w:rFonts w:ascii="仿宋" w:eastAsia="仿宋" w:hAnsi="仿宋" w:hint="eastAsia"/>
          <w:sz w:val="32"/>
          <w:szCs w:val="32"/>
        </w:rPr>
        <w:t>18515</w:t>
      </w:r>
      <w:r w:rsidRPr="00EB29DE">
        <w:rPr>
          <w:rFonts w:ascii="仿宋" w:eastAsia="仿宋" w:hAnsi="仿宋" w:hint="eastAsia"/>
          <w:sz w:val="32"/>
          <w:szCs w:val="32"/>
        </w:rPr>
        <w:t>万元,</w:t>
      </w:r>
      <w:r w:rsidR="00020DE9" w:rsidRPr="00EB29DE">
        <w:rPr>
          <w:rFonts w:ascii="仿宋" w:eastAsia="仿宋" w:hAnsi="仿宋" w:hint="eastAsia"/>
          <w:sz w:val="32"/>
          <w:szCs w:val="32"/>
        </w:rPr>
        <w:t>公共安全</w:t>
      </w:r>
      <w:r w:rsidRPr="00EB29DE">
        <w:rPr>
          <w:rFonts w:ascii="仿宋" w:eastAsia="仿宋" w:hAnsi="仿宋" w:hint="eastAsia"/>
          <w:sz w:val="32"/>
          <w:szCs w:val="32"/>
        </w:rPr>
        <w:t>支出</w:t>
      </w:r>
      <w:r w:rsidR="00020DE9" w:rsidRPr="00EB29DE">
        <w:rPr>
          <w:rFonts w:ascii="仿宋" w:eastAsia="仿宋" w:hAnsi="仿宋" w:hint="eastAsia"/>
          <w:sz w:val="32"/>
          <w:szCs w:val="32"/>
        </w:rPr>
        <w:t>4909万元</w:t>
      </w:r>
      <w:r w:rsidRPr="00EB29DE">
        <w:rPr>
          <w:rFonts w:ascii="仿宋" w:eastAsia="仿宋" w:hAnsi="仿宋" w:hint="eastAsia"/>
          <w:sz w:val="32"/>
          <w:szCs w:val="32"/>
        </w:rPr>
        <w:t>，</w:t>
      </w:r>
      <w:r w:rsidR="00020DE9" w:rsidRPr="00EB29DE">
        <w:rPr>
          <w:rFonts w:ascii="仿宋" w:eastAsia="仿宋" w:hAnsi="仿宋" w:hint="eastAsia"/>
          <w:sz w:val="32"/>
          <w:szCs w:val="32"/>
        </w:rPr>
        <w:t>科学技术支出92万元，</w:t>
      </w:r>
      <w:r w:rsidRPr="00EB29DE">
        <w:rPr>
          <w:rFonts w:ascii="仿宋" w:eastAsia="仿宋" w:hAnsi="仿宋" w:hint="eastAsia"/>
          <w:sz w:val="32"/>
          <w:szCs w:val="32"/>
        </w:rPr>
        <w:t>这八项支出占一般公共预算支出的</w:t>
      </w:r>
      <w:r w:rsidR="00020DE9" w:rsidRPr="00EB29DE">
        <w:rPr>
          <w:rFonts w:ascii="仿宋" w:eastAsia="仿宋" w:hAnsi="仿宋" w:hint="eastAsia"/>
          <w:sz w:val="32"/>
          <w:szCs w:val="32"/>
        </w:rPr>
        <w:t>50.6</w:t>
      </w:r>
      <w:r w:rsidRPr="00EB29DE">
        <w:rPr>
          <w:rFonts w:ascii="仿宋" w:eastAsia="仿宋" w:hAnsi="仿宋" w:hint="eastAsia"/>
          <w:sz w:val="32"/>
          <w:szCs w:val="32"/>
        </w:rPr>
        <w:t>%。</w:t>
      </w:r>
    </w:p>
    <w:p w:rsidR="007569A1" w:rsidRPr="00EB29DE" w:rsidRDefault="001B1A4A">
      <w:pPr>
        <w:spacing w:line="360" w:lineRule="auto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 w:rsidRPr="00EB29DE">
        <w:rPr>
          <w:rFonts w:ascii="仿宋" w:eastAsia="仿宋" w:hAnsi="仿宋" w:hint="eastAsia"/>
          <w:b/>
          <w:sz w:val="32"/>
          <w:szCs w:val="32"/>
        </w:rPr>
        <w:t>二、农业</w:t>
      </w:r>
    </w:p>
    <w:p w:rsidR="00040C3F" w:rsidRPr="00EB29DE" w:rsidRDefault="00040C3F" w:rsidP="00040C3F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据统计，全年粮食作物播种面积16593公顷，比上年同期增长1.9%。在粮食作物中：小麦播种面积9622公顷，比</w:t>
      </w:r>
      <w:r w:rsidRPr="00EB29DE">
        <w:rPr>
          <w:rFonts w:ascii="仿宋" w:eastAsia="仿宋" w:hAnsi="仿宋" w:hint="eastAsia"/>
          <w:sz w:val="32"/>
          <w:szCs w:val="32"/>
        </w:rPr>
        <w:lastRenderedPageBreak/>
        <w:t>上年同期增长13.9%；大麦播种面积20公顷，比上年同期下降35.5 %；马铃薯播种面积256公顷，比上年同期下降48%。全年粮食总产量36626吨，比上年同期下降18.5%。其中：小麦总产量24958吨，比上年同期下降11.6%；大麦总产量45吨，比上年同期下降48.9%；马铃薯总产量(折粮)1445吨，比上年同期下降51%。</w:t>
      </w:r>
    </w:p>
    <w:p w:rsidR="00040C3F" w:rsidRPr="00EB29DE" w:rsidRDefault="00040C3F" w:rsidP="00040C3F">
      <w:pPr>
        <w:spacing w:line="360" w:lineRule="auto"/>
        <w:ind w:firstLineChars="200" w:firstLine="640"/>
        <w:jc w:val="both"/>
        <w:rPr>
          <w:rFonts w:ascii="仿宋" w:eastAsia="仿宋" w:hAnsi="仿宋"/>
          <w:color w:val="C00000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初步统计，全市牧业年度牲畜总头数达182461头（只），比上年增长10.9%。年末牲畜存栏总头数164869头（只）,比上年下降0.8%，其中：大牲畜存栏6884头（只），比上年增长25.4%。羊存栏153457头（只），比上年下降2.3%。</w:t>
      </w:r>
    </w:p>
    <w:p w:rsidR="00040C3F" w:rsidRPr="00EB29DE" w:rsidRDefault="00040C3F" w:rsidP="00040C3F">
      <w:pPr>
        <w:spacing w:line="360" w:lineRule="auto"/>
        <w:ind w:firstLineChars="209" w:firstLine="669"/>
        <w:jc w:val="both"/>
        <w:rPr>
          <w:rFonts w:ascii="黑体" w:eastAsia="黑体" w:hAnsi="黑体"/>
          <w:b/>
          <w:sz w:val="24"/>
          <w:szCs w:val="24"/>
        </w:rPr>
      </w:pPr>
      <w:r w:rsidRPr="00EB29DE">
        <w:rPr>
          <w:rFonts w:ascii="仿宋" w:eastAsia="仿宋" w:hAnsi="仿宋" w:hint="eastAsia"/>
          <w:sz w:val="32"/>
          <w:szCs w:val="32"/>
        </w:rPr>
        <w:t>全年肉类总产量3003吨，牛奶产量11吨，禽蛋产量151吨。</w:t>
      </w:r>
    </w:p>
    <w:p w:rsidR="00040C3F" w:rsidRPr="00EB29DE" w:rsidRDefault="00040C3F" w:rsidP="00040C3F">
      <w:pPr>
        <w:spacing w:line="360" w:lineRule="auto"/>
        <w:jc w:val="center"/>
        <w:rPr>
          <w:rFonts w:ascii="黑体" w:eastAsia="黑体" w:hAnsi="黑体"/>
          <w:b/>
          <w:sz w:val="24"/>
          <w:szCs w:val="24"/>
        </w:rPr>
      </w:pPr>
      <w:r w:rsidRPr="00EB29DE">
        <w:rPr>
          <w:rFonts w:ascii="黑体" w:eastAsia="黑体" w:hAnsi="黑体" w:hint="eastAsia"/>
          <w:b/>
          <w:sz w:val="24"/>
          <w:szCs w:val="24"/>
        </w:rPr>
        <w:t>表1        主要农畜产品产量和牲畜存栏数</w:t>
      </w:r>
    </w:p>
    <w:tbl>
      <w:tblPr>
        <w:tblW w:w="701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/>
      </w:tblPr>
      <w:tblGrid>
        <w:gridCol w:w="3460"/>
        <w:gridCol w:w="1390"/>
        <w:gridCol w:w="2169"/>
      </w:tblGrid>
      <w:tr w:rsidR="00040C3F" w:rsidRPr="00EB29DE" w:rsidTr="004116BA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指 标 名 称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2019年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同比增长（%）</w:t>
            </w:r>
          </w:p>
        </w:tc>
      </w:tr>
      <w:tr w:rsidR="00040C3F" w:rsidRPr="00EB29DE" w:rsidTr="004116BA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粮食（吨）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36626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-18.5</w:t>
            </w:r>
          </w:p>
        </w:tc>
      </w:tr>
      <w:tr w:rsidR="00040C3F" w:rsidRPr="00EB29DE" w:rsidTr="004116BA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 #小麦（吨）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24958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-11.6</w:t>
            </w:r>
          </w:p>
        </w:tc>
      </w:tr>
      <w:tr w:rsidR="00040C3F" w:rsidRPr="00EB29DE" w:rsidTr="004116BA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  玉米（吨）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5200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-1.8</w:t>
            </w:r>
          </w:p>
        </w:tc>
      </w:tr>
      <w:tr w:rsidR="00040C3F" w:rsidRPr="00EB29DE" w:rsidTr="004116BA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  大豆（吨）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4978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-35.0</w:t>
            </w:r>
          </w:p>
        </w:tc>
      </w:tr>
      <w:tr w:rsidR="00040C3F" w:rsidRPr="00EB29DE" w:rsidTr="004116BA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  薯类（吨）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1445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-51.0</w:t>
            </w:r>
          </w:p>
        </w:tc>
      </w:tr>
      <w:tr w:rsidR="00040C3F" w:rsidRPr="00EB29DE" w:rsidTr="004116BA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油料（吨）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15184.65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-7.05</w:t>
            </w:r>
          </w:p>
        </w:tc>
      </w:tr>
      <w:tr w:rsidR="00040C3F" w:rsidRPr="00EB29DE" w:rsidTr="004116BA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 xml:space="preserve">蔬菜及食用菌（吨）     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3142.63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38.28</w:t>
            </w:r>
          </w:p>
        </w:tc>
      </w:tr>
      <w:tr w:rsidR="00040C3F" w:rsidRPr="00EB29DE" w:rsidTr="004116BA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牛奶（吨）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11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-98.35</w:t>
            </w:r>
          </w:p>
        </w:tc>
      </w:tr>
      <w:tr w:rsidR="00040C3F" w:rsidRPr="00EB29DE" w:rsidTr="004116BA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绵羊毛（吨）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614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3.72</w:t>
            </w:r>
          </w:p>
        </w:tc>
      </w:tr>
      <w:tr w:rsidR="00040C3F" w:rsidRPr="00EB29DE" w:rsidTr="004116BA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lastRenderedPageBreak/>
              <w:t>山羊绒（吨）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1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0</w:t>
            </w:r>
          </w:p>
        </w:tc>
      </w:tr>
      <w:tr w:rsidR="00040C3F" w:rsidRPr="00EB29DE" w:rsidTr="004116BA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肉类总产量（吨）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3003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40.3</w:t>
            </w:r>
          </w:p>
        </w:tc>
      </w:tr>
      <w:tr w:rsidR="00040C3F" w:rsidRPr="00EB29DE" w:rsidTr="004116BA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  #猪肉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369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186.05</w:t>
            </w:r>
          </w:p>
        </w:tc>
      </w:tr>
      <w:tr w:rsidR="00040C3F" w:rsidRPr="00EB29DE" w:rsidTr="004116BA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   牛肉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640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35.88</w:t>
            </w:r>
          </w:p>
        </w:tc>
      </w:tr>
      <w:tr w:rsidR="00040C3F" w:rsidRPr="00EB29DE" w:rsidTr="004116BA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  羊肉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1905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33.5</w:t>
            </w:r>
          </w:p>
        </w:tc>
      </w:tr>
      <w:tr w:rsidR="00040C3F" w:rsidRPr="00EB29DE" w:rsidTr="004116BA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牧业年度牲畜存栏（头、只）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182461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10.9</w:t>
            </w:r>
          </w:p>
        </w:tc>
      </w:tr>
      <w:tr w:rsidR="00040C3F" w:rsidRPr="00EB29DE" w:rsidTr="004116BA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  #大牲畜（头）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10392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15.1</w:t>
            </w:r>
          </w:p>
        </w:tc>
      </w:tr>
      <w:tr w:rsidR="00040C3F" w:rsidRPr="00EB29DE" w:rsidTr="004116BA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   羊（只）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166997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10.0</w:t>
            </w:r>
          </w:p>
        </w:tc>
      </w:tr>
      <w:tr w:rsidR="00040C3F" w:rsidRPr="00EB29DE" w:rsidTr="004116BA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   猪（头）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5072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040C3F" w:rsidRPr="00EB29DE" w:rsidRDefault="00040C3F" w:rsidP="004116B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B29DE">
              <w:rPr>
                <w:rFonts w:ascii="宋体" w:eastAsia="宋体" w:hAnsi="宋体" w:cs="Tahoma" w:hint="eastAsia"/>
                <w:sz w:val="24"/>
                <w:szCs w:val="24"/>
              </w:rPr>
              <w:t>35.6</w:t>
            </w:r>
          </w:p>
        </w:tc>
      </w:tr>
    </w:tbl>
    <w:p w:rsidR="007569A1" w:rsidRPr="00EB29DE" w:rsidRDefault="007569A1" w:rsidP="00040C3F">
      <w:pPr>
        <w:spacing w:line="360" w:lineRule="auto"/>
        <w:jc w:val="both"/>
        <w:rPr>
          <w:rFonts w:ascii="仿宋" w:eastAsia="仿宋" w:hAnsi="仿宋"/>
          <w:color w:val="FF0000"/>
          <w:sz w:val="32"/>
          <w:szCs w:val="32"/>
        </w:rPr>
      </w:pPr>
    </w:p>
    <w:p w:rsidR="007569A1" w:rsidRPr="00EB29DE" w:rsidRDefault="001B1A4A" w:rsidP="00D01C54">
      <w:pPr>
        <w:spacing w:line="360" w:lineRule="auto"/>
        <w:ind w:firstLineChars="209" w:firstLine="669"/>
        <w:jc w:val="both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全年全市农牧业机械总动力</w:t>
      </w:r>
      <w:r w:rsidR="00C6209A" w:rsidRPr="00EB29DE">
        <w:rPr>
          <w:rFonts w:ascii="仿宋" w:eastAsia="仿宋" w:hAnsi="仿宋" w:hint="eastAsia"/>
          <w:sz w:val="32"/>
          <w:szCs w:val="32"/>
        </w:rPr>
        <w:t>4.7</w:t>
      </w:r>
      <w:r w:rsidRPr="00EB29DE">
        <w:rPr>
          <w:rFonts w:ascii="仿宋" w:eastAsia="仿宋" w:hAnsi="仿宋" w:hint="eastAsia"/>
          <w:sz w:val="32"/>
          <w:szCs w:val="32"/>
        </w:rPr>
        <w:t>万千瓦，大中小型拖拉机</w:t>
      </w:r>
      <w:r w:rsidR="00C6209A" w:rsidRPr="00EB29DE">
        <w:rPr>
          <w:rFonts w:ascii="仿宋" w:eastAsia="仿宋" w:hAnsi="仿宋" w:hint="eastAsia"/>
          <w:sz w:val="32"/>
          <w:szCs w:val="32"/>
        </w:rPr>
        <w:t>1243</w:t>
      </w:r>
      <w:r w:rsidRPr="00EB29DE">
        <w:rPr>
          <w:rFonts w:ascii="仿宋" w:eastAsia="仿宋" w:hAnsi="仿宋" w:hint="eastAsia"/>
          <w:sz w:val="32"/>
          <w:szCs w:val="32"/>
        </w:rPr>
        <w:t>台，其中，大中型拖拉机</w:t>
      </w:r>
      <w:r w:rsidR="00C6209A" w:rsidRPr="00EB29DE">
        <w:rPr>
          <w:rFonts w:ascii="仿宋" w:eastAsia="仿宋" w:hAnsi="仿宋" w:hint="eastAsia"/>
          <w:sz w:val="32"/>
          <w:szCs w:val="32"/>
        </w:rPr>
        <w:t>857</w:t>
      </w:r>
      <w:r w:rsidRPr="00EB29DE">
        <w:rPr>
          <w:rFonts w:ascii="仿宋" w:eastAsia="仿宋" w:hAnsi="仿宋" w:hint="eastAsia"/>
          <w:sz w:val="32"/>
          <w:szCs w:val="32"/>
        </w:rPr>
        <w:t>台,小型拖拉机</w:t>
      </w:r>
      <w:r w:rsidR="00C6209A" w:rsidRPr="00EB29DE">
        <w:rPr>
          <w:rFonts w:ascii="仿宋" w:eastAsia="仿宋" w:hAnsi="仿宋" w:hint="eastAsia"/>
          <w:sz w:val="32"/>
          <w:szCs w:val="32"/>
        </w:rPr>
        <w:t>386</w:t>
      </w:r>
      <w:r w:rsidRPr="00EB29DE">
        <w:rPr>
          <w:rFonts w:ascii="仿宋" w:eastAsia="仿宋" w:hAnsi="仿宋" w:hint="eastAsia"/>
          <w:sz w:val="32"/>
          <w:szCs w:val="32"/>
        </w:rPr>
        <w:t>台。联合收割机</w:t>
      </w:r>
      <w:r w:rsidR="00C6209A" w:rsidRPr="00EB29DE">
        <w:rPr>
          <w:rFonts w:ascii="仿宋" w:eastAsia="仿宋" w:hAnsi="仿宋" w:hint="eastAsia"/>
          <w:sz w:val="32"/>
          <w:szCs w:val="32"/>
        </w:rPr>
        <w:t>177</w:t>
      </w:r>
      <w:r w:rsidRPr="00EB29DE">
        <w:rPr>
          <w:rFonts w:ascii="仿宋" w:eastAsia="仿宋" w:hAnsi="仿宋" w:hint="eastAsia"/>
          <w:sz w:val="32"/>
          <w:szCs w:val="32"/>
        </w:rPr>
        <w:t>台，各种农机具</w:t>
      </w:r>
      <w:r w:rsidR="002824E2" w:rsidRPr="00EB29DE">
        <w:rPr>
          <w:rFonts w:ascii="仿宋" w:eastAsia="仿宋" w:hAnsi="仿宋" w:hint="eastAsia"/>
          <w:sz w:val="32"/>
          <w:szCs w:val="32"/>
        </w:rPr>
        <w:t>1765</w:t>
      </w:r>
      <w:r w:rsidRPr="00EB29DE">
        <w:rPr>
          <w:rFonts w:ascii="仿宋" w:eastAsia="仿宋" w:hAnsi="仿宋" w:hint="eastAsia"/>
          <w:sz w:val="32"/>
          <w:szCs w:val="32"/>
        </w:rPr>
        <w:t>（套），化肥施用量（折纯）</w:t>
      </w:r>
      <w:r w:rsidR="00C044F5" w:rsidRPr="00EB29DE">
        <w:rPr>
          <w:rFonts w:ascii="仿宋" w:eastAsia="仿宋" w:hAnsi="仿宋" w:hint="eastAsia"/>
          <w:sz w:val="32"/>
          <w:szCs w:val="32"/>
        </w:rPr>
        <w:t>2262</w:t>
      </w:r>
      <w:r w:rsidRPr="00EB29DE">
        <w:rPr>
          <w:rFonts w:ascii="仿宋" w:eastAsia="仿宋" w:hAnsi="仿宋" w:hint="eastAsia"/>
          <w:sz w:val="32"/>
          <w:szCs w:val="32"/>
        </w:rPr>
        <w:t>吨，农用柴油</w:t>
      </w:r>
      <w:r w:rsidR="00C044F5" w:rsidRPr="00EB29DE">
        <w:rPr>
          <w:rFonts w:ascii="仿宋" w:eastAsia="仿宋" w:hAnsi="仿宋" w:hint="eastAsia"/>
          <w:sz w:val="32"/>
          <w:szCs w:val="32"/>
        </w:rPr>
        <w:t>1218</w:t>
      </w:r>
      <w:r w:rsidRPr="00EB29DE">
        <w:rPr>
          <w:rFonts w:ascii="仿宋" w:eastAsia="仿宋" w:hAnsi="仿宋" w:hint="eastAsia"/>
          <w:sz w:val="32"/>
          <w:szCs w:val="32"/>
        </w:rPr>
        <w:t>吨，农药使用量</w:t>
      </w:r>
      <w:r w:rsidR="00C044F5" w:rsidRPr="00EB29DE">
        <w:rPr>
          <w:rFonts w:ascii="仿宋" w:eastAsia="仿宋" w:hAnsi="仿宋" w:hint="eastAsia"/>
          <w:sz w:val="32"/>
          <w:szCs w:val="32"/>
        </w:rPr>
        <w:t>38</w:t>
      </w:r>
      <w:r w:rsidRPr="00EB29DE">
        <w:rPr>
          <w:rFonts w:ascii="仿宋" w:eastAsia="仿宋" w:hAnsi="仿宋" w:hint="eastAsia"/>
          <w:sz w:val="32"/>
          <w:szCs w:val="32"/>
        </w:rPr>
        <w:t>吨。</w:t>
      </w:r>
    </w:p>
    <w:p w:rsidR="007569A1" w:rsidRPr="00EB29DE" w:rsidRDefault="001B1A4A">
      <w:pPr>
        <w:spacing w:line="360" w:lineRule="auto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 w:rsidRPr="00EB29DE">
        <w:rPr>
          <w:rFonts w:ascii="仿宋" w:eastAsia="仿宋" w:hAnsi="仿宋" w:hint="eastAsia"/>
          <w:b/>
          <w:sz w:val="32"/>
          <w:szCs w:val="32"/>
        </w:rPr>
        <w:t>三、工业</w:t>
      </w:r>
    </w:p>
    <w:p w:rsidR="007569A1" w:rsidRPr="00EB29DE" w:rsidRDefault="003061BF" w:rsidP="003061BF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规模以上工业企业完成增加值同比下降9.8%。规模以上工业企业实现产品销售率86.5%，比上年提高28.7个百分点。</w:t>
      </w:r>
    </w:p>
    <w:p w:rsidR="001F73B7" w:rsidRPr="00EB29DE" w:rsidRDefault="00596BA6" w:rsidP="001F73B7">
      <w:pPr>
        <w:spacing w:line="360" w:lineRule="auto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400040" cy="2427518"/>
            <wp:effectExtent l="19050" t="0" r="10160" b="0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69A1" w:rsidRPr="00EB29DE" w:rsidRDefault="001B1A4A">
      <w:pPr>
        <w:spacing w:line="360" w:lineRule="auto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 w:rsidRPr="00EB29DE">
        <w:rPr>
          <w:rFonts w:ascii="仿宋" w:eastAsia="仿宋" w:hAnsi="仿宋" w:hint="eastAsia"/>
          <w:b/>
          <w:sz w:val="32"/>
          <w:szCs w:val="32"/>
        </w:rPr>
        <w:t>四、固定资产投资和房地产开发</w:t>
      </w:r>
    </w:p>
    <w:p w:rsidR="00274AF2" w:rsidRPr="00EB29DE" w:rsidRDefault="00274AF2" w:rsidP="00274AF2">
      <w:pPr>
        <w:spacing w:line="360" w:lineRule="auto"/>
        <w:ind w:firstLineChars="200" w:firstLine="640"/>
        <w:jc w:val="both"/>
        <w:rPr>
          <w:rFonts w:eastAsia="仿宋"/>
        </w:rPr>
      </w:pPr>
      <w:r w:rsidRPr="00EB29DE">
        <w:rPr>
          <w:rFonts w:ascii="仿宋" w:eastAsia="仿宋" w:hAnsi="仿宋" w:hint="eastAsia"/>
          <w:sz w:val="32"/>
          <w:szCs w:val="32"/>
        </w:rPr>
        <w:t>全年500万元以上固定资产投资</w:t>
      </w:r>
      <w:r w:rsidR="004E4B7D" w:rsidRPr="00EB29DE">
        <w:rPr>
          <w:rFonts w:ascii="仿宋" w:eastAsia="仿宋" w:hAnsi="仿宋" w:hint="eastAsia"/>
          <w:sz w:val="32"/>
          <w:szCs w:val="32"/>
        </w:rPr>
        <w:t>同比增长3.9</w:t>
      </w:r>
      <w:r w:rsidRPr="00EB29DE">
        <w:rPr>
          <w:rFonts w:ascii="仿宋" w:eastAsia="仿宋" w:hAnsi="仿宋" w:hint="eastAsia"/>
          <w:sz w:val="32"/>
          <w:szCs w:val="32"/>
        </w:rPr>
        <w:t>%。其中，城镇固定资产投资</w:t>
      </w:r>
      <w:r w:rsidR="004E4B7D" w:rsidRPr="00EB29DE">
        <w:rPr>
          <w:rFonts w:ascii="仿宋" w:eastAsia="仿宋" w:hAnsi="仿宋" w:hint="eastAsia"/>
          <w:sz w:val="32"/>
          <w:szCs w:val="32"/>
        </w:rPr>
        <w:t>同比增长25.9</w:t>
      </w:r>
      <w:r w:rsidRPr="00EB29DE">
        <w:rPr>
          <w:rFonts w:ascii="仿宋" w:eastAsia="仿宋" w:hAnsi="仿宋" w:hint="eastAsia"/>
          <w:sz w:val="32"/>
          <w:szCs w:val="32"/>
        </w:rPr>
        <w:t>%；房地产开发投资</w:t>
      </w:r>
      <w:r w:rsidR="004E4B7D" w:rsidRPr="00EB29DE">
        <w:rPr>
          <w:rFonts w:ascii="仿宋" w:eastAsia="仿宋" w:hAnsi="仿宋" w:hint="eastAsia"/>
          <w:sz w:val="32"/>
          <w:szCs w:val="32"/>
        </w:rPr>
        <w:t>同比下降83.4</w:t>
      </w:r>
      <w:r w:rsidRPr="00EB29DE">
        <w:rPr>
          <w:rFonts w:ascii="仿宋" w:eastAsia="仿宋" w:hAnsi="仿宋" w:hint="eastAsia"/>
          <w:sz w:val="32"/>
          <w:szCs w:val="32"/>
        </w:rPr>
        <w:t>%。</w:t>
      </w:r>
    </w:p>
    <w:p w:rsidR="007569A1" w:rsidRPr="00EB29DE" w:rsidRDefault="00246534">
      <w:pPr>
        <w:rPr>
          <w:rFonts w:ascii="宋体" w:eastAsia="宋体" w:hAnsi="宋体" w:cs="宋体"/>
          <w:sz w:val="24"/>
          <w:szCs w:val="24"/>
        </w:rPr>
      </w:pPr>
      <w:r w:rsidRPr="00EB29DE"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400040" cy="2721895"/>
            <wp:effectExtent l="19050" t="0" r="10160" b="2255"/>
            <wp:docPr id="5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69A1" w:rsidRPr="00EB29DE" w:rsidRDefault="007569A1">
      <w:pPr>
        <w:rPr>
          <w:rFonts w:ascii="宋体" w:eastAsia="宋体" w:hAnsi="宋体" w:cs="宋体"/>
          <w:sz w:val="24"/>
          <w:szCs w:val="24"/>
        </w:rPr>
      </w:pPr>
    </w:p>
    <w:p w:rsidR="00274AF2" w:rsidRPr="00EB29DE" w:rsidRDefault="00274AF2" w:rsidP="00274AF2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lastRenderedPageBreak/>
        <w:t>全年新开工项目达</w:t>
      </w:r>
      <w:r w:rsidR="004E4B7D" w:rsidRPr="00EB29DE">
        <w:rPr>
          <w:rFonts w:ascii="仿宋" w:eastAsia="仿宋" w:hAnsi="仿宋" w:hint="eastAsia"/>
          <w:sz w:val="32"/>
          <w:szCs w:val="32"/>
        </w:rPr>
        <w:t>20</w:t>
      </w:r>
      <w:r w:rsidRPr="00EB29DE">
        <w:rPr>
          <w:rFonts w:ascii="仿宋" w:eastAsia="仿宋" w:hAnsi="仿宋" w:hint="eastAsia"/>
          <w:sz w:val="32"/>
          <w:szCs w:val="32"/>
        </w:rPr>
        <w:t>个，完成投资</w:t>
      </w:r>
      <w:r w:rsidR="004E4B7D" w:rsidRPr="00EB29DE">
        <w:rPr>
          <w:rFonts w:ascii="仿宋" w:eastAsia="仿宋" w:hAnsi="仿宋" w:hint="eastAsia"/>
          <w:sz w:val="32"/>
          <w:szCs w:val="32"/>
        </w:rPr>
        <w:t>36441</w:t>
      </w:r>
      <w:r w:rsidRPr="00EB29DE">
        <w:rPr>
          <w:rFonts w:ascii="仿宋" w:eastAsia="仿宋" w:hAnsi="仿宋" w:hint="eastAsia"/>
          <w:sz w:val="32"/>
          <w:szCs w:val="32"/>
        </w:rPr>
        <w:t>万元，占全部投资的</w:t>
      </w:r>
      <w:r w:rsidR="00A347EF" w:rsidRPr="00EB29DE">
        <w:rPr>
          <w:rFonts w:ascii="仿宋" w:eastAsia="仿宋" w:hAnsi="仿宋" w:hint="eastAsia"/>
          <w:sz w:val="32"/>
          <w:szCs w:val="32"/>
        </w:rPr>
        <w:t>58.2</w:t>
      </w:r>
      <w:r w:rsidRPr="00EB29DE">
        <w:rPr>
          <w:rFonts w:ascii="仿宋" w:eastAsia="仿宋" w:hAnsi="仿宋" w:hint="eastAsia"/>
          <w:sz w:val="32"/>
          <w:szCs w:val="32"/>
        </w:rPr>
        <w:t>%；续建项目</w:t>
      </w:r>
      <w:r w:rsidR="00A347EF" w:rsidRPr="00EB29DE">
        <w:rPr>
          <w:rFonts w:ascii="仿宋" w:eastAsia="仿宋" w:hAnsi="仿宋" w:hint="eastAsia"/>
          <w:sz w:val="32"/>
          <w:szCs w:val="32"/>
        </w:rPr>
        <w:t>32</w:t>
      </w:r>
      <w:r w:rsidRPr="00EB29DE">
        <w:rPr>
          <w:rFonts w:ascii="仿宋" w:eastAsia="仿宋" w:hAnsi="仿宋" w:hint="eastAsia"/>
          <w:sz w:val="32"/>
          <w:szCs w:val="32"/>
        </w:rPr>
        <w:t>个，完成投资额</w:t>
      </w:r>
      <w:r w:rsidR="00A347EF" w:rsidRPr="00EB29DE">
        <w:rPr>
          <w:rFonts w:ascii="仿宋" w:eastAsia="仿宋" w:hAnsi="仿宋" w:hint="eastAsia"/>
          <w:sz w:val="32"/>
          <w:szCs w:val="32"/>
        </w:rPr>
        <w:t>26142</w:t>
      </w:r>
      <w:r w:rsidRPr="00EB29DE">
        <w:rPr>
          <w:rFonts w:ascii="仿宋" w:eastAsia="仿宋" w:hAnsi="仿宋" w:hint="eastAsia"/>
          <w:sz w:val="32"/>
          <w:szCs w:val="32"/>
        </w:rPr>
        <w:t>万元，占全部投资的</w:t>
      </w:r>
      <w:r w:rsidR="00A347EF" w:rsidRPr="00EB29DE">
        <w:rPr>
          <w:rFonts w:ascii="仿宋" w:eastAsia="仿宋" w:hAnsi="仿宋" w:hint="eastAsia"/>
          <w:sz w:val="32"/>
          <w:szCs w:val="32"/>
        </w:rPr>
        <w:t>41.8</w:t>
      </w:r>
      <w:r w:rsidRPr="00EB29DE">
        <w:rPr>
          <w:rFonts w:ascii="仿宋" w:eastAsia="仿宋" w:hAnsi="仿宋" w:hint="eastAsia"/>
          <w:sz w:val="32"/>
          <w:szCs w:val="32"/>
        </w:rPr>
        <w:t>%。</w:t>
      </w:r>
    </w:p>
    <w:p w:rsidR="007569A1" w:rsidRPr="00EB29DE" w:rsidRDefault="001B1A4A">
      <w:pPr>
        <w:spacing w:line="360" w:lineRule="auto"/>
        <w:ind w:firstLine="510"/>
        <w:jc w:val="both"/>
        <w:rPr>
          <w:rFonts w:ascii="仿宋" w:eastAsia="仿宋" w:hAnsi="仿宋"/>
          <w:b/>
          <w:sz w:val="32"/>
          <w:szCs w:val="32"/>
        </w:rPr>
      </w:pPr>
      <w:r w:rsidRPr="00EB29DE">
        <w:rPr>
          <w:rFonts w:ascii="仿宋" w:eastAsia="仿宋" w:hAnsi="仿宋" w:hint="eastAsia"/>
          <w:b/>
          <w:sz w:val="32"/>
          <w:szCs w:val="32"/>
        </w:rPr>
        <w:t>五、国内贸易</w:t>
      </w:r>
    </w:p>
    <w:p w:rsidR="00150ACF" w:rsidRPr="00EB29DE" w:rsidRDefault="00150ACF" w:rsidP="00150ACF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全年社会消费品零售总额</w:t>
      </w:r>
      <w:r w:rsidR="002D3A1B" w:rsidRPr="00EB29DE">
        <w:rPr>
          <w:rFonts w:ascii="仿宋" w:eastAsia="仿宋" w:hAnsi="仿宋" w:hint="eastAsia"/>
          <w:sz w:val="32"/>
          <w:szCs w:val="32"/>
        </w:rPr>
        <w:t>同比</w:t>
      </w:r>
      <w:r w:rsidRPr="00EB29DE">
        <w:rPr>
          <w:rFonts w:ascii="仿宋" w:eastAsia="仿宋" w:hAnsi="仿宋" w:hint="eastAsia"/>
          <w:sz w:val="32"/>
          <w:szCs w:val="32"/>
        </w:rPr>
        <w:t>增长</w:t>
      </w:r>
      <w:r w:rsidR="002D3A1B" w:rsidRPr="00EB29DE">
        <w:rPr>
          <w:rFonts w:ascii="仿宋" w:eastAsia="仿宋" w:hAnsi="仿宋" w:hint="eastAsia"/>
          <w:sz w:val="32"/>
          <w:szCs w:val="32"/>
        </w:rPr>
        <w:t>3.8</w:t>
      </w:r>
      <w:r w:rsidRPr="00EB29DE">
        <w:rPr>
          <w:rFonts w:ascii="仿宋" w:eastAsia="仿宋" w:hAnsi="仿宋" w:hint="eastAsia"/>
          <w:sz w:val="32"/>
          <w:szCs w:val="32"/>
        </w:rPr>
        <w:t>%。分行业看，批发零售贸易业零售额</w:t>
      </w:r>
      <w:r w:rsidR="002D3A1B" w:rsidRPr="00EB29DE">
        <w:rPr>
          <w:rFonts w:ascii="仿宋" w:eastAsia="仿宋" w:hAnsi="仿宋" w:hint="eastAsia"/>
          <w:sz w:val="32"/>
          <w:szCs w:val="32"/>
        </w:rPr>
        <w:t>61908</w:t>
      </w:r>
      <w:r w:rsidRPr="00EB29DE">
        <w:rPr>
          <w:rFonts w:ascii="仿宋" w:eastAsia="仿宋" w:hAnsi="仿宋" w:hint="eastAsia"/>
          <w:sz w:val="32"/>
          <w:szCs w:val="32"/>
        </w:rPr>
        <w:t>万元，</w:t>
      </w:r>
      <w:r w:rsidR="002D3A1B" w:rsidRPr="00EB29DE">
        <w:rPr>
          <w:rFonts w:ascii="仿宋" w:eastAsia="仿宋" w:hAnsi="仿宋" w:hint="eastAsia"/>
          <w:sz w:val="32"/>
          <w:szCs w:val="32"/>
        </w:rPr>
        <w:t>同比</w:t>
      </w:r>
      <w:r w:rsidRPr="00EB29DE">
        <w:rPr>
          <w:rFonts w:ascii="仿宋" w:eastAsia="仿宋" w:hAnsi="仿宋" w:hint="eastAsia"/>
          <w:sz w:val="32"/>
          <w:szCs w:val="32"/>
        </w:rPr>
        <w:t>增长</w:t>
      </w:r>
      <w:r w:rsidR="002D3A1B" w:rsidRPr="00EB29DE">
        <w:rPr>
          <w:rFonts w:ascii="仿宋" w:eastAsia="仿宋" w:hAnsi="仿宋" w:hint="eastAsia"/>
          <w:sz w:val="32"/>
          <w:szCs w:val="32"/>
        </w:rPr>
        <w:t>3.6</w:t>
      </w:r>
      <w:r w:rsidRPr="00EB29DE">
        <w:rPr>
          <w:rFonts w:ascii="仿宋" w:eastAsia="仿宋" w:hAnsi="仿宋" w:hint="eastAsia"/>
          <w:sz w:val="32"/>
          <w:szCs w:val="32"/>
        </w:rPr>
        <w:t>%；住宿和餐饮业零售额</w:t>
      </w:r>
      <w:r w:rsidR="002D3A1B" w:rsidRPr="00EB29DE">
        <w:rPr>
          <w:rFonts w:ascii="仿宋" w:eastAsia="仿宋" w:hAnsi="仿宋" w:hint="eastAsia"/>
          <w:sz w:val="32"/>
          <w:szCs w:val="32"/>
        </w:rPr>
        <w:t>25536.8</w:t>
      </w:r>
      <w:r w:rsidRPr="00EB29DE">
        <w:rPr>
          <w:rFonts w:ascii="仿宋" w:eastAsia="仿宋" w:hAnsi="仿宋" w:hint="eastAsia"/>
          <w:sz w:val="32"/>
          <w:szCs w:val="32"/>
        </w:rPr>
        <w:t>万元，</w:t>
      </w:r>
      <w:r w:rsidR="002D3A1B" w:rsidRPr="00EB29DE">
        <w:rPr>
          <w:rFonts w:ascii="仿宋" w:eastAsia="仿宋" w:hAnsi="仿宋" w:hint="eastAsia"/>
          <w:sz w:val="32"/>
          <w:szCs w:val="32"/>
        </w:rPr>
        <w:t>同比</w:t>
      </w:r>
      <w:r w:rsidRPr="00EB29DE">
        <w:rPr>
          <w:rFonts w:ascii="仿宋" w:eastAsia="仿宋" w:hAnsi="仿宋" w:hint="eastAsia"/>
          <w:sz w:val="32"/>
          <w:szCs w:val="32"/>
        </w:rPr>
        <w:t>增长</w:t>
      </w:r>
      <w:r w:rsidR="002D3A1B" w:rsidRPr="00EB29DE">
        <w:rPr>
          <w:rFonts w:ascii="仿宋" w:eastAsia="仿宋" w:hAnsi="仿宋" w:hint="eastAsia"/>
          <w:sz w:val="32"/>
          <w:szCs w:val="32"/>
        </w:rPr>
        <w:t>4.3</w:t>
      </w:r>
      <w:r w:rsidRPr="00EB29DE">
        <w:rPr>
          <w:rFonts w:ascii="仿宋" w:eastAsia="仿宋" w:hAnsi="仿宋" w:hint="eastAsia"/>
          <w:sz w:val="32"/>
          <w:szCs w:val="32"/>
        </w:rPr>
        <w:t>%。</w:t>
      </w:r>
    </w:p>
    <w:p w:rsidR="007569A1" w:rsidRPr="00EB29DE" w:rsidRDefault="002D3A1B">
      <w:pPr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400040" cy="3089398"/>
            <wp:effectExtent l="19050" t="0" r="10160" b="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72BF" w:rsidRPr="00EB29DE" w:rsidRDefault="003172BF" w:rsidP="00EE6634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全年招商引资项目16个，总投资90亿元，到位资金12.1亿元，其中新建项目9个，到位资金11.2亿元，续建项目7个，到位资金0.9亿元。</w:t>
      </w:r>
    </w:p>
    <w:p w:rsidR="007569A1" w:rsidRPr="00EB29DE" w:rsidRDefault="001B1A4A">
      <w:pPr>
        <w:spacing w:line="360" w:lineRule="auto"/>
        <w:ind w:firstLine="510"/>
        <w:jc w:val="both"/>
        <w:rPr>
          <w:rFonts w:ascii="仿宋" w:eastAsia="仿宋" w:hAnsi="仿宋"/>
          <w:b/>
          <w:sz w:val="32"/>
          <w:szCs w:val="32"/>
        </w:rPr>
      </w:pPr>
      <w:r w:rsidRPr="00EB29DE">
        <w:rPr>
          <w:rFonts w:ascii="仿宋" w:eastAsia="仿宋" w:hAnsi="仿宋" w:hint="eastAsia"/>
          <w:b/>
          <w:sz w:val="32"/>
          <w:szCs w:val="32"/>
        </w:rPr>
        <w:t>六、交通、邮电和旅游业</w:t>
      </w:r>
    </w:p>
    <w:p w:rsidR="00022F35" w:rsidRDefault="00022F35" w:rsidP="00022F35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邮电通信各部门全年邮电业务收入5200.3万元，同比增长3.4%。年末本地固定电话用户5245户，同比增长37.3%；移动电话用户57225户,同比增长9.6%；互联网用户17497户，同比增长83.6%。</w:t>
      </w:r>
    </w:p>
    <w:p w:rsidR="00A12CAC" w:rsidRDefault="001B1A4A" w:rsidP="0044184B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全年游客接待量突破</w:t>
      </w:r>
      <w:r w:rsidR="005002FB" w:rsidRPr="00EB29DE">
        <w:rPr>
          <w:rFonts w:ascii="仿宋" w:eastAsia="仿宋" w:hAnsi="仿宋" w:hint="eastAsia"/>
          <w:sz w:val="32"/>
          <w:szCs w:val="32"/>
        </w:rPr>
        <w:t>400</w:t>
      </w:r>
      <w:r w:rsidRPr="00EB29DE">
        <w:rPr>
          <w:rFonts w:ascii="仿宋" w:eastAsia="仿宋" w:hAnsi="仿宋" w:hint="eastAsia"/>
          <w:sz w:val="32"/>
          <w:szCs w:val="32"/>
        </w:rPr>
        <w:t>万人次，为</w:t>
      </w:r>
      <w:r w:rsidR="0060330A" w:rsidRPr="00EB29DE">
        <w:rPr>
          <w:rFonts w:ascii="仿宋" w:eastAsia="仿宋" w:hAnsi="仿宋" w:hint="eastAsia"/>
          <w:sz w:val="32"/>
          <w:szCs w:val="32"/>
        </w:rPr>
        <w:t>498.6</w:t>
      </w:r>
      <w:r w:rsidRPr="00EB29DE">
        <w:rPr>
          <w:rFonts w:ascii="仿宋" w:eastAsia="仿宋" w:hAnsi="仿宋" w:hint="eastAsia"/>
          <w:sz w:val="32"/>
          <w:szCs w:val="32"/>
        </w:rPr>
        <w:t>万人次，比上年增长</w:t>
      </w:r>
      <w:r w:rsidR="0060330A" w:rsidRPr="00EB29DE">
        <w:rPr>
          <w:rFonts w:ascii="仿宋" w:eastAsia="仿宋" w:hAnsi="仿宋" w:hint="eastAsia"/>
          <w:sz w:val="32"/>
          <w:szCs w:val="32"/>
        </w:rPr>
        <w:t>16.0</w:t>
      </w:r>
      <w:r w:rsidRPr="00EB29DE">
        <w:rPr>
          <w:rFonts w:ascii="仿宋" w:eastAsia="仿宋" w:hAnsi="仿宋" w:hint="eastAsia"/>
          <w:sz w:val="32"/>
          <w:szCs w:val="32"/>
        </w:rPr>
        <w:t>%；全年实现旅游收入</w:t>
      </w:r>
      <w:r w:rsidR="0060330A" w:rsidRPr="00EB29DE">
        <w:rPr>
          <w:rFonts w:ascii="仿宋" w:eastAsia="仿宋" w:hAnsi="仿宋" w:hint="eastAsia"/>
          <w:sz w:val="32"/>
          <w:szCs w:val="32"/>
        </w:rPr>
        <w:t>60.8</w:t>
      </w:r>
      <w:r w:rsidRPr="00EB29DE">
        <w:rPr>
          <w:rFonts w:ascii="仿宋" w:eastAsia="仿宋" w:hAnsi="仿宋" w:hint="eastAsia"/>
          <w:sz w:val="32"/>
          <w:szCs w:val="32"/>
        </w:rPr>
        <w:t>亿元，比上年增长</w:t>
      </w:r>
      <w:r w:rsidR="0060330A" w:rsidRPr="00EB29DE">
        <w:rPr>
          <w:rFonts w:ascii="仿宋" w:eastAsia="仿宋" w:hAnsi="仿宋" w:hint="eastAsia"/>
          <w:sz w:val="32"/>
          <w:szCs w:val="32"/>
        </w:rPr>
        <w:t>16</w:t>
      </w:r>
      <w:r w:rsidRPr="00EB29DE">
        <w:rPr>
          <w:rFonts w:ascii="仿宋" w:eastAsia="仿宋" w:hAnsi="仿宋" w:hint="eastAsia"/>
          <w:sz w:val="32"/>
          <w:szCs w:val="32"/>
        </w:rPr>
        <w:t>%。市旅游星级宾馆两家，旅游接待能力达20809张标准床位；直接间接从事旅游业人数近4</w:t>
      </w:r>
      <w:r w:rsidR="005A37F9" w:rsidRPr="00EB29DE">
        <w:rPr>
          <w:rFonts w:ascii="仿宋" w:eastAsia="仿宋" w:hAnsi="仿宋" w:hint="eastAsia"/>
          <w:sz w:val="32"/>
          <w:szCs w:val="32"/>
        </w:rPr>
        <w:t>3</w:t>
      </w:r>
      <w:r w:rsidRPr="00EB29DE">
        <w:rPr>
          <w:rFonts w:ascii="仿宋" w:eastAsia="仿宋" w:hAnsi="仿宋" w:hint="eastAsia"/>
          <w:sz w:val="32"/>
          <w:szCs w:val="32"/>
        </w:rPr>
        <w:t>000人，其中，直接从业人员达到14000余人；现有旅行社32家，旅游纪念品商</w:t>
      </w:r>
      <w:r w:rsidR="0060330A" w:rsidRPr="00EB29DE">
        <w:rPr>
          <w:rFonts w:ascii="仿宋" w:eastAsia="仿宋" w:hAnsi="仿宋" w:hint="eastAsia"/>
          <w:sz w:val="32"/>
          <w:szCs w:val="32"/>
        </w:rPr>
        <w:t>120</w:t>
      </w:r>
      <w:r w:rsidRPr="00EB29DE">
        <w:rPr>
          <w:rFonts w:ascii="仿宋" w:eastAsia="仿宋" w:hAnsi="仿宋" w:hint="eastAsia"/>
          <w:sz w:val="32"/>
          <w:szCs w:val="32"/>
        </w:rPr>
        <w:t>家</w:t>
      </w:r>
      <w:bookmarkStart w:id="0" w:name="_GoBack"/>
      <w:bookmarkEnd w:id="0"/>
      <w:r w:rsidR="002D3A1B" w:rsidRPr="00EB29DE">
        <w:rPr>
          <w:rFonts w:ascii="仿宋" w:eastAsia="仿宋" w:hAnsi="仿宋" w:hint="eastAsia"/>
          <w:sz w:val="32"/>
          <w:szCs w:val="32"/>
        </w:rPr>
        <w:t>。</w:t>
      </w:r>
    </w:p>
    <w:p w:rsidR="007569A1" w:rsidRPr="00EB29DE" w:rsidRDefault="0060330A" w:rsidP="0044184B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2856230"/>
            <wp:effectExtent l="19050" t="0" r="21590" b="1270"/>
            <wp:docPr id="8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69A1" w:rsidRPr="00EB29DE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全年机场累计运营</w:t>
      </w:r>
      <w:r w:rsidR="00205E08" w:rsidRPr="00EB29DE">
        <w:rPr>
          <w:rFonts w:ascii="仿宋" w:eastAsia="仿宋" w:hAnsi="仿宋" w:hint="eastAsia"/>
          <w:sz w:val="32"/>
          <w:szCs w:val="32"/>
        </w:rPr>
        <w:t>9</w:t>
      </w:r>
      <w:r w:rsidRPr="00EB29DE">
        <w:rPr>
          <w:rFonts w:ascii="仿宋" w:eastAsia="仿宋" w:hAnsi="仿宋" w:hint="eastAsia"/>
          <w:sz w:val="32"/>
          <w:szCs w:val="32"/>
        </w:rPr>
        <w:t>条航线，飞机起降</w:t>
      </w:r>
      <w:r w:rsidR="00205E08" w:rsidRPr="00EB29DE">
        <w:rPr>
          <w:rFonts w:ascii="仿宋" w:eastAsia="仿宋" w:hAnsi="仿宋" w:hint="eastAsia"/>
          <w:sz w:val="32"/>
          <w:szCs w:val="32"/>
        </w:rPr>
        <w:t>2032</w:t>
      </w:r>
      <w:r w:rsidRPr="00EB29DE">
        <w:rPr>
          <w:rFonts w:ascii="仿宋" w:eastAsia="仿宋" w:hAnsi="仿宋" w:hint="eastAsia"/>
          <w:sz w:val="32"/>
          <w:szCs w:val="32"/>
        </w:rPr>
        <w:t>架次，</w:t>
      </w:r>
      <w:r w:rsidR="00A230F5" w:rsidRPr="00EB29DE">
        <w:rPr>
          <w:rFonts w:ascii="仿宋" w:eastAsia="仿宋" w:hAnsi="仿宋" w:hint="eastAsia"/>
          <w:sz w:val="32"/>
          <w:szCs w:val="32"/>
        </w:rPr>
        <w:t>同比</w:t>
      </w:r>
      <w:r w:rsidR="00205E08" w:rsidRPr="00EB29DE">
        <w:rPr>
          <w:rFonts w:ascii="仿宋" w:eastAsia="仿宋" w:hAnsi="仿宋" w:hint="eastAsia"/>
          <w:sz w:val="32"/>
          <w:szCs w:val="32"/>
        </w:rPr>
        <w:t>增长3.9</w:t>
      </w:r>
      <w:r w:rsidRPr="00EB29DE">
        <w:rPr>
          <w:rFonts w:ascii="仿宋" w:eastAsia="仿宋" w:hAnsi="仿宋" w:hint="eastAsia"/>
          <w:sz w:val="32"/>
          <w:szCs w:val="32"/>
        </w:rPr>
        <w:t>%；旅客吞吐量达到</w:t>
      </w:r>
      <w:r w:rsidR="00205E08" w:rsidRPr="00EB29DE">
        <w:rPr>
          <w:rFonts w:ascii="仿宋" w:eastAsia="仿宋" w:hAnsi="仿宋" w:hint="eastAsia"/>
          <w:sz w:val="32"/>
          <w:szCs w:val="32"/>
        </w:rPr>
        <w:t>10.4</w:t>
      </w:r>
      <w:r w:rsidRPr="00EB29DE">
        <w:rPr>
          <w:rFonts w:ascii="仿宋" w:eastAsia="仿宋" w:hAnsi="仿宋" w:hint="eastAsia"/>
          <w:sz w:val="32"/>
          <w:szCs w:val="32"/>
        </w:rPr>
        <w:t>万人次，</w:t>
      </w:r>
      <w:r w:rsidR="00205E08" w:rsidRPr="00EB29DE">
        <w:rPr>
          <w:rFonts w:ascii="仿宋" w:eastAsia="仿宋" w:hAnsi="仿宋" w:hint="eastAsia"/>
          <w:sz w:val="32"/>
          <w:szCs w:val="32"/>
        </w:rPr>
        <w:t>与去年同期持平</w:t>
      </w:r>
      <w:r w:rsidRPr="00EB29DE">
        <w:rPr>
          <w:rFonts w:ascii="仿宋" w:eastAsia="仿宋" w:hAnsi="仿宋" w:hint="eastAsia"/>
          <w:sz w:val="32"/>
          <w:szCs w:val="32"/>
        </w:rPr>
        <w:t>。</w:t>
      </w:r>
    </w:p>
    <w:p w:rsidR="007569A1" w:rsidRPr="00EB29DE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cs="仿宋" w:hint="eastAsia"/>
          <w:bCs/>
          <w:sz w:val="32"/>
          <w:szCs w:val="32"/>
        </w:rPr>
        <w:lastRenderedPageBreak/>
        <w:t>全年中蒙阿尔山—松贝尔口岸开关时间由</w:t>
      </w:r>
      <w:r w:rsidR="00BE74C8" w:rsidRPr="00EB29DE">
        <w:rPr>
          <w:rFonts w:ascii="仿宋" w:eastAsia="仿宋" w:hAnsi="仿宋" w:cs="仿宋" w:hint="eastAsia"/>
          <w:bCs/>
          <w:sz w:val="32"/>
          <w:szCs w:val="32"/>
        </w:rPr>
        <w:t>4</w:t>
      </w:r>
      <w:r w:rsidRPr="00EB29DE">
        <w:rPr>
          <w:rFonts w:ascii="仿宋" w:eastAsia="仿宋" w:hAnsi="仿宋" w:cs="仿宋" w:hint="eastAsia"/>
          <w:bCs/>
          <w:sz w:val="32"/>
          <w:szCs w:val="32"/>
        </w:rPr>
        <w:t>月初至11月</w:t>
      </w:r>
      <w:r w:rsidR="00205E08" w:rsidRPr="00EB29DE">
        <w:rPr>
          <w:rFonts w:ascii="仿宋" w:eastAsia="仿宋" w:hAnsi="仿宋" w:cs="仿宋" w:hint="eastAsia"/>
          <w:bCs/>
          <w:sz w:val="32"/>
          <w:szCs w:val="32"/>
        </w:rPr>
        <w:t>初</w:t>
      </w:r>
      <w:r w:rsidRPr="00EB29DE">
        <w:rPr>
          <w:rFonts w:ascii="仿宋" w:eastAsia="仿宋" w:hAnsi="仿宋" w:cs="仿宋" w:hint="eastAsia"/>
          <w:bCs/>
          <w:sz w:val="32"/>
          <w:szCs w:val="32"/>
        </w:rPr>
        <w:t>，</w:t>
      </w:r>
      <w:r w:rsidRPr="00EB29DE">
        <w:rPr>
          <w:rFonts w:ascii="仿宋" w:eastAsia="仿宋" w:hAnsi="仿宋"/>
          <w:sz w:val="32"/>
          <w:szCs w:val="32"/>
        </w:rPr>
        <w:t>累计出入境</w:t>
      </w:r>
      <w:r w:rsidRPr="00EB29DE">
        <w:rPr>
          <w:rFonts w:ascii="仿宋" w:eastAsia="仿宋" w:hAnsi="仿宋" w:hint="eastAsia"/>
          <w:sz w:val="32"/>
          <w:szCs w:val="32"/>
        </w:rPr>
        <w:t>人员</w:t>
      </w:r>
      <w:r w:rsidR="00FB0DEB" w:rsidRPr="00EB29DE">
        <w:rPr>
          <w:rFonts w:ascii="仿宋" w:eastAsia="仿宋" w:hAnsi="仿宋" w:hint="eastAsia"/>
          <w:sz w:val="32"/>
          <w:szCs w:val="32"/>
        </w:rPr>
        <w:t>2983</w:t>
      </w:r>
      <w:r w:rsidR="00FB0DEB" w:rsidRPr="00EB29DE">
        <w:rPr>
          <w:rFonts w:ascii="仿宋" w:eastAsia="仿宋" w:hAnsi="仿宋"/>
          <w:sz w:val="32"/>
          <w:szCs w:val="32"/>
        </w:rPr>
        <w:t>人次</w:t>
      </w:r>
      <w:r w:rsidR="00FB0DEB" w:rsidRPr="00EB29DE">
        <w:rPr>
          <w:rFonts w:ascii="仿宋" w:eastAsia="仿宋" w:hAnsi="仿宋" w:hint="eastAsia"/>
          <w:sz w:val="32"/>
          <w:szCs w:val="32"/>
        </w:rPr>
        <w:t>,同比下降1.8%；</w:t>
      </w:r>
      <w:r w:rsidRPr="00EB29DE">
        <w:rPr>
          <w:rFonts w:ascii="仿宋" w:eastAsia="仿宋" w:hAnsi="仿宋" w:hint="eastAsia"/>
          <w:sz w:val="32"/>
          <w:szCs w:val="32"/>
        </w:rPr>
        <w:t>车辆</w:t>
      </w:r>
      <w:r w:rsidR="00FB0DEB" w:rsidRPr="00EB29DE">
        <w:rPr>
          <w:rFonts w:ascii="仿宋" w:eastAsia="仿宋" w:hAnsi="仿宋" w:hint="eastAsia"/>
          <w:sz w:val="32"/>
          <w:szCs w:val="32"/>
        </w:rPr>
        <w:t>1376</w:t>
      </w:r>
      <w:r w:rsidRPr="00EB29DE">
        <w:rPr>
          <w:rFonts w:ascii="仿宋" w:eastAsia="仿宋" w:hAnsi="仿宋" w:hint="eastAsia"/>
          <w:sz w:val="32"/>
          <w:szCs w:val="32"/>
        </w:rPr>
        <w:t>辆</w:t>
      </w:r>
      <w:r w:rsidRPr="00EB29DE">
        <w:rPr>
          <w:rFonts w:ascii="仿宋" w:eastAsia="仿宋" w:hAnsi="仿宋"/>
          <w:sz w:val="32"/>
          <w:szCs w:val="32"/>
        </w:rPr>
        <w:t>次</w:t>
      </w:r>
      <w:r w:rsidRPr="00EB29DE">
        <w:rPr>
          <w:rFonts w:ascii="仿宋" w:eastAsia="仿宋" w:hAnsi="仿宋" w:hint="eastAsia"/>
          <w:sz w:val="32"/>
          <w:szCs w:val="32"/>
        </w:rPr>
        <w:t>，</w:t>
      </w:r>
      <w:r w:rsidR="00FB0DEB" w:rsidRPr="00EB29DE">
        <w:rPr>
          <w:rFonts w:ascii="仿宋" w:eastAsia="仿宋" w:hAnsi="仿宋" w:hint="eastAsia"/>
          <w:sz w:val="32"/>
          <w:szCs w:val="32"/>
        </w:rPr>
        <w:t>同比</w:t>
      </w:r>
      <w:r w:rsidRPr="00EB29DE">
        <w:rPr>
          <w:rFonts w:ascii="仿宋" w:eastAsia="仿宋" w:hAnsi="仿宋" w:hint="eastAsia"/>
          <w:sz w:val="32"/>
          <w:szCs w:val="32"/>
        </w:rPr>
        <w:t>增长</w:t>
      </w:r>
      <w:r w:rsidR="00FB0DEB" w:rsidRPr="00EB29DE">
        <w:rPr>
          <w:rFonts w:ascii="仿宋" w:eastAsia="仿宋" w:hAnsi="仿宋" w:hint="eastAsia"/>
          <w:sz w:val="32"/>
          <w:szCs w:val="32"/>
        </w:rPr>
        <w:t>16.8</w:t>
      </w:r>
      <w:r w:rsidRPr="00EB29DE">
        <w:rPr>
          <w:rFonts w:ascii="仿宋" w:eastAsia="仿宋" w:hAnsi="仿宋"/>
          <w:sz w:val="32"/>
          <w:szCs w:val="32"/>
        </w:rPr>
        <w:t>%。</w:t>
      </w:r>
    </w:p>
    <w:p w:rsidR="007569A1" w:rsidRPr="00EB29DE" w:rsidRDefault="001B1A4A">
      <w:pPr>
        <w:spacing w:line="360" w:lineRule="auto"/>
        <w:ind w:rightChars="-1" w:right="-2" w:firstLineChars="206" w:firstLine="662"/>
        <w:jc w:val="both"/>
        <w:rPr>
          <w:rFonts w:ascii="仿宋" w:eastAsia="仿宋" w:hAnsi="仿宋"/>
          <w:b/>
          <w:sz w:val="32"/>
          <w:szCs w:val="32"/>
        </w:rPr>
      </w:pPr>
      <w:r w:rsidRPr="00EB29DE">
        <w:rPr>
          <w:rFonts w:ascii="仿宋" w:eastAsia="仿宋" w:hAnsi="仿宋" w:hint="eastAsia"/>
          <w:b/>
          <w:sz w:val="32"/>
          <w:szCs w:val="32"/>
        </w:rPr>
        <w:t>七、金融和保险业</w:t>
      </w:r>
    </w:p>
    <w:p w:rsidR="007569A1" w:rsidRPr="00EB29DE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年末全市金融机构各项人民币存款余额</w:t>
      </w:r>
      <w:r w:rsidR="0060330A" w:rsidRPr="00EB29DE">
        <w:rPr>
          <w:rFonts w:ascii="仿宋" w:eastAsia="仿宋" w:hAnsi="仿宋" w:hint="eastAsia"/>
          <w:sz w:val="32"/>
          <w:szCs w:val="32"/>
        </w:rPr>
        <w:t>473359</w:t>
      </w:r>
      <w:r w:rsidRPr="00EB29DE">
        <w:rPr>
          <w:rFonts w:ascii="仿宋" w:eastAsia="仿宋" w:hAnsi="仿宋" w:hint="eastAsia"/>
          <w:sz w:val="32"/>
          <w:szCs w:val="32"/>
        </w:rPr>
        <w:t>万元，</w:t>
      </w:r>
      <w:r w:rsidR="00BE74C8" w:rsidRPr="00EB29DE">
        <w:rPr>
          <w:rFonts w:ascii="仿宋" w:eastAsia="仿宋" w:hAnsi="仿宋" w:hint="eastAsia"/>
          <w:sz w:val="32"/>
          <w:szCs w:val="32"/>
        </w:rPr>
        <w:t>同比增长</w:t>
      </w:r>
      <w:r w:rsidR="0060330A" w:rsidRPr="00EB29DE">
        <w:rPr>
          <w:rFonts w:ascii="仿宋" w:eastAsia="仿宋" w:hAnsi="仿宋" w:hint="eastAsia"/>
          <w:sz w:val="32"/>
          <w:szCs w:val="32"/>
        </w:rPr>
        <w:t>8.5</w:t>
      </w:r>
      <w:r w:rsidRPr="00EB29DE">
        <w:rPr>
          <w:rFonts w:ascii="仿宋" w:eastAsia="仿宋" w:hAnsi="仿宋" w:hint="eastAsia"/>
          <w:sz w:val="32"/>
          <w:szCs w:val="32"/>
        </w:rPr>
        <w:t>%。其中，住户存款余额</w:t>
      </w:r>
      <w:r w:rsidR="0060330A" w:rsidRPr="00EB29DE">
        <w:rPr>
          <w:rFonts w:ascii="仿宋" w:eastAsia="仿宋" w:hAnsi="仿宋" w:hint="eastAsia"/>
          <w:sz w:val="32"/>
          <w:szCs w:val="32"/>
        </w:rPr>
        <w:t>182453</w:t>
      </w:r>
      <w:r w:rsidRPr="00EB29DE">
        <w:rPr>
          <w:rFonts w:ascii="仿宋" w:eastAsia="仿宋" w:hAnsi="仿宋" w:hint="eastAsia"/>
          <w:sz w:val="32"/>
          <w:szCs w:val="32"/>
        </w:rPr>
        <w:t>万元，</w:t>
      </w:r>
      <w:r w:rsidR="00BE74C8" w:rsidRPr="00EB29DE">
        <w:rPr>
          <w:rFonts w:ascii="仿宋" w:eastAsia="仿宋" w:hAnsi="仿宋" w:hint="eastAsia"/>
          <w:sz w:val="32"/>
          <w:szCs w:val="32"/>
        </w:rPr>
        <w:t>同比增长6.8</w:t>
      </w:r>
      <w:r w:rsidRPr="00EB29DE">
        <w:rPr>
          <w:rFonts w:ascii="仿宋" w:eastAsia="仿宋" w:hAnsi="仿宋" w:hint="eastAsia"/>
          <w:sz w:val="32"/>
          <w:szCs w:val="32"/>
        </w:rPr>
        <w:t>%；非金融企业存款余额</w:t>
      </w:r>
      <w:r w:rsidR="0060330A" w:rsidRPr="00EB29DE">
        <w:rPr>
          <w:rFonts w:ascii="仿宋" w:eastAsia="仿宋" w:hAnsi="仿宋" w:hint="eastAsia"/>
          <w:sz w:val="32"/>
          <w:szCs w:val="32"/>
        </w:rPr>
        <w:t>132207</w:t>
      </w:r>
      <w:r w:rsidRPr="00EB29DE">
        <w:rPr>
          <w:rFonts w:ascii="仿宋" w:eastAsia="仿宋" w:hAnsi="仿宋" w:hint="eastAsia"/>
          <w:sz w:val="32"/>
          <w:szCs w:val="32"/>
        </w:rPr>
        <w:t>万元。年末全市金融机构各项人民币贷款余额</w:t>
      </w:r>
      <w:r w:rsidR="0060330A" w:rsidRPr="00EB29DE">
        <w:rPr>
          <w:rFonts w:ascii="仿宋" w:eastAsia="仿宋" w:hAnsi="仿宋" w:hint="eastAsia"/>
          <w:sz w:val="32"/>
          <w:szCs w:val="32"/>
        </w:rPr>
        <w:t>416365</w:t>
      </w:r>
      <w:r w:rsidRPr="00EB29DE">
        <w:rPr>
          <w:rFonts w:ascii="仿宋" w:eastAsia="仿宋" w:hAnsi="仿宋" w:hint="eastAsia"/>
          <w:sz w:val="32"/>
          <w:szCs w:val="32"/>
        </w:rPr>
        <w:t>万元，比上年增长</w:t>
      </w:r>
      <w:r w:rsidR="0060330A" w:rsidRPr="00EB29DE">
        <w:rPr>
          <w:rFonts w:ascii="仿宋" w:eastAsia="仿宋" w:hAnsi="仿宋" w:hint="eastAsia"/>
          <w:sz w:val="32"/>
          <w:szCs w:val="32"/>
        </w:rPr>
        <w:t>0.2</w:t>
      </w:r>
      <w:r w:rsidRPr="00EB29DE">
        <w:rPr>
          <w:rFonts w:ascii="仿宋" w:eastAsia="仿宋" w:hAnsi="仿宋" w:hint="eastAsia"/>
          <w:sz w:val="32"/>
          <w:szCs w:val="32"/>
        </w:rPr>
        <w:t>%，其中，住户贷款余额</w:t>
      </w:r>
      <w:r w:rsidR="0060330A" w:rsidRPr="00EB29DE">
        <w:rPr>
          <w:rFonts w:ascii="仿宋" w:eastAsia="仿宋" w:hAnsi="仿宋" w:hint="eastAsia"/>
          <w:sz w:val="32"/>
          <w:szCs w:val="32"/>
        </w:rPr>
        <w:t>107043</w:t>
      </w:r>
      <w:r w:rsidRPr="00EB29DE">
        <w:rPr>
          <w:rFonts w:ascii="仿宋" w:eastAsia="仿宋" w:hAnsi="仿宋" w:hint="eastAsia"/>
          <w:sz w:val="32"/>
          <w:szCs w:val="32"/>
        </w:rPr>
        <w:t>万元；非金融企业及机关团体贷款余额</w:t>
      </w:r>
      <w:r w:rsidR="0060330A" w:rsidRPr="00EB29DE">
        <w:rPr>
          <w:rFonts w:ascii="仿宋" w:eastAsia="仿宋" w:hAnsi="仿宋" w:hint="eastAsia"/>
          <w:sz w:val="32"/>
          <w:szCs w:val="32"/>
        </w:rPr>
        <w:t>309322</w:t>
      </w:r>
      <w:r w:rsidRPr="00EB29DE">
        <w:rPr>
          <w:rFonts w:ascii="仿宋" w:eastAsia="仿宋" w:hAnsi="仿宋" w:hint="eastAsia"/>
          <w:sz w:val="32"/>
          <w:szCs w:val="32"/>
        </w:rPr>
        <w:t>万元。</w:t>
      </w:r>
    </w:p>
    <w:p w:rsidR="007569A1" w:rsidRPr="00EB29DE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截止年末，全市已有开展保险业务的保险公司</w:t>
      </w:r>
      <w:r w:rsidR="003061BF" w:rsidRPr="00EB29DE">
        <w:rPr>
          <w:rFonts w:ascii="仿宋" w:eastAsia="仿宋" w:hAnsi="仿宋" w:hint="eastAsia"/>
          <w:sz w:val="32"/>
          <w:szCs w:val="32"/>
        </w:rPr>
        <w:t>4</w:t>
      </w:r>
      <w:r w:rsidRPr="00EB29DE">
        <w:rPr>
          <w:rFonts w:ascii="仿宋" w:eastAsia="仿宋" w:hAnsi="仿宋" w:hint="eastAsia"/>
          <w:sz w:val="32"/>
          <w:szCs w:val="32"/>
        </w:rPr>
        <w:t>户。全年保险业实现保费收入</w:t>
      </w:r>
      <w:r w:rsidR="00DC5596" w:rsidRPr="00EB29DE">
        <w:rPr>
          <w:rFonts w:ascii="仿宋" w:eastAsia="仿宋" w:hAnsi="仿宋" w:hint="eastAsia"/>
          <w:sz w:val="32"/>
          <w:szCs w:val="32"/>
        </w:rPr>
        <w:t>3374.4</w:t>
      </w:r>
      <w:r w:rsidRPr="00EB29DE">
        <w:rPr>
          <w:rFonts w:ascii="仿宋" w:eastAsia="仿宋" w:hAnsi="仿宋" w:hint="eastAsia"/>
          <w:sz w:val="32"/>
          <w:szCs w:val="32"/>
        </w:rPr>
        <w:t>万元</w:t>
      </w:r>
      <w:r w:rsidR="00631904" w:rsidRPr="00EB29DE">
        <w:rPr>
          <w:rFonts w:ascii="仿宋" w:eastAsia="仿宋" w:hAnsi="仿宋" w:hint="eastAsia"/>
          <w:sz w:val="32"/>
          <w:szCs w:val="32"/>
        </w:rPr>
        <w:t>。</w:t>
      </w:r>
      <w:r w:rsidRPr="00EB29DE">
        <w:rPr>
          <w:rFonts w:ascii="仿宋" w:eastAsia="仿宋" w:hAnsi="仿宋" w:hint="eastAsia"/>
          <w:sz w:val="32"/>
          <w:szCs w:val="32"/>
        </w:rPr>
        <w:t>其中，财产险保费收入</w:t>
      </w:r>
      <w:r w:rsidR="00DC5596" w:rsidRPr="00EB29DE">
        <w:rPr>
          <w:rFonts w:ascii="仿宋" w:eastAsia="仿宋" w:hAnsi="仿宋" w:hint="eastAsia"/>
          <w:sz w:val="32"/>
          <w:szCs w:val="32"/>
        </w:rPr>
        <w:t>440.4</w:t>
      </w:r>
      <w:r w:rsidRPr="00EB29DE">
        <w:rPr>
          <w:rFonts w:ascii="仿宋" w:eastAsia="仿宋" w:hAnsi="仿宋" w:hint="eastAsia"/>
          <w:sz w:val="32"/>
          <w:szCs w:val="32"/>
        </w:rPr>
        <w:t>万元，人身险保费收入</w:t>
      </w:r>
      <w:r w:rsidR="00DC5596" w:rsidRPr="00EB29DE">
        <w:rPr>
          <w:rFonts w:ascii="仿宋" w:eastAsia="仿宋" w:hAnsi="仿宋" w:hint="eastAsia"/>
          <w:sz w:val="32"/>
          <w:szCs w:val="32"/>
        </w:rPr>
        <w:t>2232.5</w:t>
      </w:r>
      <w:r w:rsidRPr="00EB29DE">
        <w:rPr>
          <w:rFonts w:ascii="仿宋" w:eastAsia="仿宋" w:hAnsi="仿宋" w:hint="eastAsia"/>
          <w:sz w:val="32"/>
          <w:szCs w:val="32"/>
        </w:rPr>
        <w:t>万元。全年保险业赔款与给付支出</w:t>
      </w:r>
      <w:r w:rsidR="00DC5596" w:rsidRPr="00EB29DE">
        <w:rPr>
          <w:rFonts w:ascii="仿宋" w:eastAsia="仿宋" w:hAnsi="仿宋" w:hint="eastAsia"/>
          <w:sz w:val="32"/>
          <w:szCs w:val="32"/>
        </w:rPr>
        <w:t>663.9</w:t>
      </w:r>
      <w:r w:rsidRPr="00EB29DE">
        <w:rPr>
          <w:rFonts w:ascii="仿宋" w:eastAsia="仿宋" w:hAnsi="仿宋" w:hint="eastAsia"/>
          <w:sz w:val="32"/>
          <w:szCs w:val="32"/>
        </w:rPr>
        <w:t>万元</w:t>
      </w:r>
      <w:r w:rsidR="00631904" w:rsidRPr="00EB29DE">
        <w:rPr>
          <w:rFonts w:ascii="仿宋" w:eastAsia="仿宋" w:hAnsi="仿宋" w:hint="eastAsia"/>
          <w:sz w:val="32"/>
          <w:szCs w:val="32"/>
        </w:rPr>
        <w:t>。</w:t>
      </w:r>
      <w:r w:rsidRPr="00EB29DE">
        <w:rPr>
          <w:rFonts w:ascii="仿宋" w:eastAsia="仿宋" w:hAnsi="仿宋" w:hint="eastAsia"/>
          <w:sz w:val="32"/>
          <w:szCs w:val="32"/>
        </w:rPr>
        <w:t>其中，财产险赔款支出</w:t>
      </w:r>
      <w:r w:rsidR="00DC5596" w:rsidRPr="00EB29DE">
        <w:rPr>
          <w:rFonts w:ascii="仿宋" w:eastAsia="仿宋" w:hAnsi="仿宋" w:hint="eastAsia"/>
          <w:sz w:val="32"/>
          <w:szCs w:val="32"/>
        </w:rPr>
        <w:t>164.0</w:t>
      </w:r>
      <w:r w:rsidRPr="00EB29DE">
        <w:rPr>
          <w:rFonts w:ascii="仿宋" w:eastAsia="仿宋" w:hAnsi="仿宋" w:hint="eastAsia"/>
          <w:sz w:val="32"/>
          <w:szCs w:val="32"/>
        </w:rPr>
        <w:t>万元，赔付率达</w:t>
      </w:r>
      <w:r w:rsidR="00DC5596" w:rsidRPr="00EB29DE">
        <w:rPr>
          <w:rFonts w:ascii="仿宋" w:eastAsia="仿宋" w:hAnsi="仿宋" w:hint="eastAsia"/>
          <w:sz w:val="32"/>
          <w:szCs w:val="32"/>
        </w:rPr>
        <w:t>37.2</w:t>
      </w:r>
      <w:r w:rsidRPr="00EB29DE">
        <w:rPr>
          <w:rFonts w:ascii="仿宋" w:eastAsia="仿宋" w:hAnsi="仿宋" w:hint="eastAsia"/>
          <w:sz w:val="32"/>
          <w:szCs w:val="32"/>
        </w:rPr>
        <w:t>%；人身险赔款及给付支出</w:t>
      </w:r>
      <w:r w:rsidR="00DC5596" w:rsidRPr="00EB29DE">
        <w:rPr>
          <w:rFonts w:ascii="仿宋" w:eastAsia="仿宋" w:hAnsi="仿宋" w:hint="eastAsia"/>
          <w:sz w:val="32"/>
          <w:szCs w:val="32"/>
        </w:rPr>
        <w:t>222.3</w:t>
      </w:r>
      <w:r w:rsidRPr="00EB29DE">
        <w:rPr>
          <w:rFonts w:ascii="仿宋" w:eastAsia="仿宋" w:hAnsi="仿宋" w:hint="eastAsia"/>
          <w:sz w:val="32"/>
          <w:szCs w:val="32"/>
        </w:rPr>
        <w:t>万元,赔付率达</w:t>
      </w:r>
      <w:r w:rsidR="00DC5596" w:rsidRPr="00EB29DE">
        <w:rPr>
          <w:rFonts w:ascii="仿宋" w:eastAsia="仿宋" w:hAnsi="仿宋" w:hint="eastAsia"/>
          <w:sz w:val="32"/>
          <w:szCs w:val="32"/>
        </w:rPr>
        <w:t>10.0</w:t>
      </w:r>
      <w:r w:rsidRPr="00EB29DE">
        <w:rPr>
          <w:rFonts w:ascii="仿宋" w:eastAsia="仿宋" w:hAnsi="仿宋" w:hint="eastAsia"/>
          <w:sz w:val="32"/>
          <w:szCs w:val="32"/>
        </w:rPr>
        <w:t>%。</w:t>
      </w:r>
    </w:p>
    <w:p w:rsidR="007569A1" w:rsidRPr="00EB29DE" w:rsidRDefault="001B1A4A">
      <w:pPr>
        <w:spacing w:line="360" w:lineRule="auto"/>
        <w:ind w:rightChars="-1" w:right="-2" w:firstLineChars="206" w:firstLine="662"/>
        <w:jc w:val="both"/>
        <w:rPr>
          <w:rFonts w:ascii="仿宋" w:eastAsia="仿宋" w:hAnsi="仿宋"/>
          <w:b/>
          <w:sz w:val="32"/>
          <w:szCs w:val="32"/>
        </w:rPr>
      </w:pPr>
      <w:r w:rsidRPr="00EB29DE">
        <w:rPr>
          <w:rFonts w:ascii="仿宋" w:eastAsia="仿宋" w:hAnsi="仿宋" w:hint="eastAsia"/>
          <w:b/>
          <w:sz w:val="32"/>
          <w:szCs w:val="32"/>
        </w:rPr>
        <w:t>八、教育和科学技术</w:t>
      </w:r>
    </w:p>
    <w:p w:rsidR="007569A1" w:rsidRPr="00EB29DE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全市共有中小学6所，在校学生</w:t>
      </w:r>
      <w:r w:rsidR="00F46D44" w:rsidRPr="00EB29DE">
        <w:rPr>
          <w:rFonts w:ascii="仿宋" w:eastAsia="仿宋" w:hAnsi="仿宋" w:hint="eastAsia"/>
          <w:sz w:val="32"/>
          <w:szCs w:val="32"/>
        </w:rPr>
        <w:t>1530</w:t>
      </w:r>
      <w:r w:rsidRPr="00EB29DE">
        <w:rPr>
          <w:rFonts w:ascii="仿宋" w:eastAsia="仿宋" w:hAnsi="仿宋" w:hint="eastAsia"/>
          <w:sz w:val="32"/>
          <w:szCs w:val="32"/>
        </w:rPr>
        <w:t>人，专任教师</w:t>
      </w:r>
      <w:r w:rsidR="0003127D" w:rsidRPr="00EB29DE">
        <w:rPr>
          <w:rFonts w:ascii="仿宋" w:eastAsia="仿宋" w:hAnsi="仿宋" w:hint="eastAsia"/>
          <w:sz w:val="32"/>
          <w:szCs w:val="32"/>
        </w:rPr>
        <w:t>360</w:t>
      </w:r>
      <w:r w:rsidRPr="00EB29DE">
        <w:rPr>
          <w:rFonts w:ascii="仿宋" w:eastAsia="仿宋" w:hAnsi="仿宋" w:hint="eastAsia"/>
          <w:sz w:val="32"/>
          <w:szCs w:val="32"/>
        </w:rPr>
        <w:t>人。其中，普通中学2所，全年招生</w:t>
      </w:r>
      <w:r w:rsidR="00F46D44" w:rsidRPr="00EB29DE">
        <w:rPr>
          <w:rFonts w:ascii="仿宋" w:eastAsia="仿宋" w:hAnsi="仿宋" w:hint="eastAsia"/>
          <w:sz w:val="32"/>
          <w:szCs w:val="32"/>
        </w:rPr>
        <w:t>169</w:t>
      </w:r>
      <w:r w:rsidRPr="00EB29DE">
        <w:rPr>
          <w:rFonts w:ascii="仿宋" w:eastAsia="仿宋" w:hAnsi="仿宋" w:hint="eastAsia"/>
          <w:sz w:val="32"/>
          <w:szCs w:val="32"/>
        </w:rPr>
        <w:t>人，在校学生</w:t>
      </w:r>
      <w:r w:rsidR="00F46D44" w:rsidRPr="00EB29DE">
        <w:rPr>
          <w:rFonts w:ascii="仿宋" w:eastAsia="仿宋" w:hAnsi="仿宋" w:hint="eastAsia"/>
          <w:sz w:val="32"/>
          <w:szCs w:val="32"/>
        </w:rPr>
        <w:t>566</w:t>
      </w:r>
      <w:r w:rsidRPr="00EB29DE">
        <w:rPr>
          <w:rFonts w:ascii="仿宋" w:eastAsia="仿宋" w:hAnsi="仿宋" w:hint="eastAsia"/>
          <w:sz w:val="32"/>
          <w:szCs w:val="32"/>
        </w:rPr>
        <w:t>人，教职工</w:t>
      </w:r>
      <w:r w:rsidR="001D02CD" w:rsidRPr="00EB29DE">
        <w:rPr>
          <w:rFonts w:ascii="仿宋" w:eastAsia="仿宋" w:hAnsi="仿宋" w:hint="eastAsia"/>
          <w:sz w:val="32"/>
          <w:szCs w:val="32"/>
        </w:rPr>
        <w:t>16</w:t>
      </w:r>
      <w:r w:rsidR="0003127D" w:rsidRPr="00EB29DE">
        <w:rPr>
          <w:rFonts w:ascii="仿宋" w:eastAsia="仿宋" w:hAnsi="仿宋" w:hint="eastAsia"/>
          <w:sz w:val="32"/>
          <w:szCs w:val="32"/>
        </w:rPr>
        <w:t>9</w:t>
      </w:r>
      <w:r w:rsidRPr="00EB29DE">
        <w:rPr>
          <w:rFonts w:ascii="仿宋" w:eastAsia="仿宋" w:hAnsi="仿宋" w:hint="eastAsia"/>
          <w:sz w:val="32"/>
          <w:szCs w:val="32"/>
        </w:rPr>
        <w:t>人，其中，专任教师</w:t>
      </w:r>
      <w:r w:rsidR="001D02CD" w:rsidRPr="00EB29DE">
        <w:rPr>
          <w:rFonts w:ascii="仿宋" w:eastAsia="仿宋" w:hAnsi="仿宋" w:hint="eastAsia"/>
          <w:sz w:val="32"/>
          <w:szCs w:val="32"/>
        </w:rPr>
        <w:t>1</w:t>
      </w:r>
      <w:r w:rsidR="0003127D" w:rsidRPr="00EB29DE">
        <w:rPr>
          <w:rFonts w:ascii="仿宋" w:eastAsia="仿宋" w:hAnsi="仿宋" w:hint="eastAsia"/>
          <w:sz w:val="32"/>
          <w:szCs w:val="32"/>
        </w:rPr>
        <w:t>63</w:t>
      </w:r>
      <w:r w:rsidRPr="00EB29DE">
        <w:rPr>
          <w:rFonts w:ascii="仿宋" w:eastAsia="仿宋" w:hAnsi="仿宋" w:hint="eastAsia"/>
          <w:sz w:val="32"/>
          <w:szCs w:val="32"/>
        </w:rPr>
        <w:t>人；小学4所，全</w:t>
      </w:r>
      <w:r w:rsidRPr="00EB29DE">
        <w:rPr>
          <w:rFonts w:ascii="仿宋" w:eastAsia="仿宋" w:hAnsi="仿宋" w:hint="eastAsia"/>
          <w:sz w:val="32"/>
          <w:szCs w:val="32"/>
        </w:rPr>
        <w:lastRenderedPageBreak/>
        <w:t>年招生</w:t>
      </w:r>
      <w:r w:rsidR="00F46D44" w:rsidRPr="00EB29DE">
        <w:rPr>
          <w:rFonts w:ascii="仿宋" w:eastAsia="仿宋" w:hAnsi="仿宋" w:hint="eastAsia"/>
          <w:sz w:val="32"/>
          <w:szCs w:val="32"/>
        </w:rPr>
        <w:t>177</w:t>
      </w:r>
      <w:r w:rsidRPr="00EB29DE">
        <w:rPr>
          <w:rFonts w:ascii="仿宋" w:eastAsia="仿宋" w:hAnsi="仿宋" w:hint="eastAsia"/>
          <w:sz w:val="32"/>
          <w:szCs w:val="32"/>
        </w:rPr>
        <w:t>人，在校学生</w:t>
      </w:r>
      <w:r w:rsidR="00F46D44" w:rsidRPr="00EB29DE">
        <w:rPr>
          <w:rFonts w:ascii="仿宋" w:eastAsia="仿宋" w:hAnsi="仿宋" w:hint="eastAsia"/>
          <w:sz w:val="32"/>
          <w:szCs w:val="32"/>
        </w:rPr>
        <w:t>964</w:t>
      </w:r>
      <w:r w:rsidRPr="00EB29DE">
        <w:rPr>
          <w:rFonts w:ascii="仿宋" w:eastAsia="仿宋" w:hAnsi="仿宋" w:hint="eastAsia"/>
          <w:sz w:val="32"/>
          <w:szCs w:val="32"/>
        </w:rPr>
        <w:t>人，教职工</w:t>
      </w:r>
      <w:r w:rsidR="0003127D" w:rsidRPr="00EB29DE">
        <w:rPr>
          <w:rFonts w:ascii="仿宋" w:eastAsia="仿宋" w:hAnsi="仿宋" w:hint="eastAsia"/>
          <w:sz w:val="32"/>
          <w:szCs w:val="32"/>
        </w:rPr>
        <w:t>157</w:t>
      </w:r>
      <w:r w:rsidRPr="00EB29DE">
        <w:rPr>
          <w:rFonts w:ascii="仿宋" w:eastAsia="仿宋" w:hAnsi="仿宋" w:hint="eastAsia"/>
          <w:sz w:val="32"/>
          <w:szCs w:val="32"/>
        </w:rPr>
        <w:t>人，其中，专任教师</w:t>
      </w:r>
      <w:r w:rsidR="0003127D" w:rsidRPr="00EB29DE">
        <w:rPr>
          <w:rFonts w:ascii="仿宋" w:eastAsia="仿宋" w:hAnsi="仿宋" w:hint="eastAsia"/>
          <w:sz w:val="32"/>
          <w:szCs w:val="32"/>
        </w:rPr>
        <w:t>144</w:t>
      </w:r>
      <w:r w:rsidRPr="00EB29DE">
        <w:rPr>
          <w:rFonts w:ascii="仿宋" w:eastAsia="仿宋" w:hAnsi="仿宋" w:hint="eastAsia"/>
          <w:sz w:val="32"/>
          <w:szCs w:val="32"/>
        </w:rPr>
        <w:t>人。小学适龄儿童入学率100%。</w:t>
      </w:r>
    </w:p>
    <w:p w:rsidR="007569A1" w:rsidRPr="00EB29DE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全市公立及已登记注册的民办幼儿园共有13所。在园幼儿</w:t>
      </w:r>
      <w:r w:rsidR="00F46D44" w:rsidRPr="00EB29DE">
        <w:rPr>
          <w:rFonts w:ascii="仿宋" w:eastAsia="仿宋" w:hAnsi="仿宋" w:hint="eastAsia"/>
          <w:sz w:val="32"/>
          <w:szCs w:val="32"/>
        </w:rPr>
        <w:t>575</w:t>
      </w:r>
      <w:r w:rsidRPr="00EB29DE">
        <w:rPr>
          <w:rFonts w:ascii="仿宋" w:eastAsia="仿宋" w:hAnsi="仿宋" w:hint="eastAsia"/>
          <w:sz w:val="32"/>
          <w:szCs w:val="32"/>
        </w:rPr>
        <w:t>人；教职工9</w:t>
      </w:r>
      <w:r w:rsidR="0003127D" w:rsidRPr="00EB29DE">
        <w:rPr>
          <w:rFonts w:ascii="仿宋" w:eastAsia="仿宋" w:hAnsi="仿宋" w:hint="eastAsia"/>
          <w:sz w:val="32"/>
          <w:szCs w:val="32"/>
        </w:rPr>
        <w:t>5</w:t>
      </w:r>
      <w:r w:rsidRPr="00EB29DE">
        <w:rPr>
          <w:rFonts w:ascii="仿宋" w:eastAsia="仿宋" w:hAnsi="仿宋" w:hint="eastAsia"/>
          <w:sz w:val="32"/>
          <w:szCs w:val="32"/>
        </w:rPr>
        <w:t>人，其中：专任教师</w:t>
      </w:r>
      <w:r w:rsidR="001D02CD" w:rsidRPr="00EB29DE">
        <w:rPr>
          <w:rFonts w:ascii="仿宋" w:eastAsia="仿宋" w:hAnsi="仿宋" w:hint="eastAsia"/>
          <w:sz w:val="32"/>
          <w:szCs w:val="32"/>
        </w:rPr>
        <w:t>5</w:t>
      </w:r>
      <w:r w:rsidR="0003127D" w:rsidRPr="00EB29DE">
        <w:rPr>
          <w:rFonts w:ascii="仿宋" w:eastAsia="仿宋" w:hAnsi="仿宋" w:hint="eastAsia"/>
          <w:sz w:val="32"/>
          <w:szCs w:val="32"/>
        </w:rPr>
        <w:t>3</w:t>
      </w:r>
      <w:r w:rsidRPr="00EB29DE">
        <w:rPr>
          <w:rFonts w:ascii="仿宋" w:eastAsia="仿宋" w:hAnsi="仿宋" w:hint="eastAsia"/>
          <w:sz w:val="32"/>
          <w:szCs w:val="32"/>
        </w:rPr>
        <w:t>人。</w:t>
      </w:r>
    </w:p>
    <w:p w:rsidR="007569A1" w:rsidRPr="00EB29DE" w:rsidRDefault="001B1A4A">
      <w:pPr>
        <w:spacing w:line="360" w:lineRule="auto"/>
        <w:ind w:rightChars="-1" w:right="-2" w:firstLineChars="206" w:firstLine="662"/>
        <w:jc w:val="both"/>
        <w:rPr>
          <w:rFonts w:ascii="仿宋" w:eastAsia="仿宋" w:hAnsi="仿宋"/>
          <w:b/>
          <w:sz w:val="32"/>
          <w:szCs w:val="32"/>
        </w:rPr>
      </w:pPr>
      <w:r w:rsidRPr="00EB29DE">
        <w:rPr>
          <w:rFonts w:ascii="仿宋" w:eastAsia="仿宋" w:hAnsi="仿宋" w:hint="eastAsia"/>
          <w:b/>
          <w:sz w:val="32"/>
          <w:szCs w:val="32"/>
        </w:rPr>
        <w:t>九、文化、卫生和体育</w:t>
      </w:r>
    </w:p>
    <w:p w:rsidR="007569A1" w:rsidRPr="00EB29DE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年末全市共有艺术表演团体（乌兰牧骑）1个，从业人员</w:t>
      </w:r>
      <w:r w:rsidR="00405A88" w:rsidRPr="00EB29DE">
        <w:rPr>
          <w:rFonts w:ascii="仿宋" w:eastAsia="仿宋" w:hAnsi="仿宋" w:hint="eastAsia"/>
          <w:sz w:val="32"/>
          <w:szCs w:val="32"/>
        </w:rPr>
        <w:t>6</w:t>
      </w:r>
      <w:r w:rsidRPr="00EB29DE">
        <w:rPr>
          <w:rFonts w:ascii="仿宋" w:eastAsia="仿宋" w:hAnsi="仿宋" w:hint="eastAsia"/>
          <w:sz w:val="32"/>
          <w:szCs w:val="32"/>
        </w:rPr>
        <w:t>人，全年演出</w:t>
      </w:r>
      <w:r w:rsidR="00405A88" w:rsidRPr="00EB29DE">
        <w:rPr>
          <w:rFonts w:ascii="仿宋" w:eastAsia="仿宋" w:hAnsi="仿宋" w:hint="eastAsia"/>
          <w:sz w:val="32"/>
          <w:szCs w:val="32"/>
        </w:rPr>
        <w:t>114</w:t>
      </w:r>
      <w:r w:rsidRPr="00EB29DE">
        <w:rPr>
          <w:rFonts w:ascii="仿宋" w:eastAsia="仿宋" w:hAnsi="仿宋" w:hint="eastAsia"/>
          <w:sz w:val="32"/>
          <w:szCs w:val="32"/>
        </w:rPr>
        <w:t>场。全市拥有文物管理站1个；综合文化站8个。年末全市有广播电台2座，广播综合人口覆盖率98.5%；拥有电视台4座，电视综合人口覆盖率98.5%，有线广播电视用户8000户。全年市级报刊发行量</w:t>
      </w:r>
      <w:r w:rsidR="00405A88" w:rsidRPr="00EB29DE">
        <w:rPr>
          <w:rFonts w:ascii="仿宋" w:eastAsia="仿宋" w:hAnsi="仿宋" w:hint="eastAsia"/>
          <w:sz w:val="32"/>
          <w:szCs w:val="32"/>
        </w:rPr>
        <w:t>17886</w:t>
      </w:r>
      <w:r w:rsidRPr="00EB29DE">
        <w:rPr>
          <w:rFonts w:ascii="仿宋" w:eastAsia="仿宋" w:hAnsi="仿宋" w:hint="eastAsia"/>
          <w:sz w:val="32"/>
          <w:szCs w:val="32"/>
        </w:rPr>
        <w:t>份。</w:t>
      </w:r>
    </w:p>
    <w:p w:rsidR="007569A1" w:rsidRPr="00EB29DE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年末全市共有卫生机构（含个体）</w:t>
      </w:r>
      <w:r w:rsidR="00205E08" w:rsidRPr="00EB29DE">
        <w:rPr>
          <w:rFonts w:ascii="仿宋" w:eastAsia="仿宋" w:hAnsi="仿宋" w:hint="eastAsia"/>
          <w:sz w:val="32"/>
          <w:szCs w:val="32"/>
        </w:rPr>
        <w:t>29</w:t>
      </w:r>
      <w:r w:rsidRPr="00EB29DE">
        <w:rPr>
          <w:rFonts w:ascii="仿宋" w:eastAsia="仿宋" w:hAnsi="仿宋" w:hint="eastAsia"/>
          <w:sz w:val="32"/>
          <w:szCs w:val="32"/>
        </w:rPr>
        <w:t>个，其中：医院、卫生院(含社区、疗养院)</w:t>
      </w:r>
      <w:r w:rsidR="00205E08" w:rsidRPr="00EB29DE">
        <w:rPr>
          <w:rFonts w:ascii="仿宋" w:eastAsia="仿宋" w:hAnsi="仿宋" w:hint="eastAsia"/>
          <w:sz w:val="32"/>
          <w:szCs w:val="32"/>
        </w:rPr>
        <w:t>10</w:t>
      </w:r>
      <w:r w:rsidRPr="00EB29DE">
        <w:rPr>
          <w:rFonts w:ascii="仿宋" w:eastAsia="仿宋" w:hAnsi="仿宋" w:hint="eastAsia"/>
          <w:sz w:val="32"/>
          <w:szCs w:val="32"/>
        </w:rPr>
        <w:t>个。年末各医疗单位实有病床</w:t>
      </w:r>
      <w:r w:rsidR="00205E08" w:rsidRPr="00EB29DE">
        <w:rPr>
          <w:rFonts w:ascii="仿宋" w:eastAsia="仿宋" w:hAnsi="仿宋" w:hint="eastAsia"/>
          <w:sz w:val="32"/>
          <w:szCs w:val="32"/>
        </w:rPr>
        <w:t>167</w:t>
      </w:r>
      <w:r w:rsidRPr="00EB29DE">
        <w:rPr>
          <w:rFonts w:ascii="仿宋" w:eastAsia="仿宋" w:hAnsi="仿宋" w:hint="eastAsia"/>
          <w:sz w:val="32"/>
          <w:szCs w:val="32"/>
        </w:rPr>
        <w:t>张。年末全市有卫生技术人员</w:t>
      </w:r>
      <w:r w:rsidR="00205E08" w:rsidRPr="00EB29DE">
        <w:rPr>
          <w:rFonts w:ascii="仿宋" w:eastAsia="仿宋" w:hAnsi="仿宋" w:hint="eastAsia"/>
          <w:sz w:val="32"/>
          <w:szCs w:val="32"/>
        </w:rPr>
        <w:t>279</w:t>
      </w:r>
      <w:r w:rsidRPr="00EB29DE">
        <w:rPr>
          <w:rFonts w:ascii="仿宋" w:eastAsia="仿宋" w:hAnsi="仿宋" w:hint="eastAsia"/>
          <w:sz w:val="32"/>
          <w:szCs w:val="32"/>
        </w:rPr>
        <w:t>人,其中:执业医师</w:t>
      </w:r>
      <w:r w:rsidR="00205E08" w:rsidRPr="00EB29DE">
        <w:rPr>
          <w:rFonts w:ascii="仿宋" w:eastAsia="仿宋" w:hAnsi="仿宋" w:hint="eastAsia"/>
          <w:sz w:val="32"/>
          <w:szCs w:val="32"/>
        </w:rPr>
        <w:t>102</w:t>
      </w:r>
      <w:r w:rsidRPr="00EB29DE">
        <w:rPr>
          <w:rFonts w:ascii="仿宋" w:eastAsia="仿宋" w:hAnsi="仿宋" w:hint="eastAsia"/>
          <w:sz w:val="32"/>
          <w:szCs w:val="32"/>
        </w:rPr>
        <w:t>人、执业助理医师</w:t>
      </w:r>
      <w:r w:rsidR="00205E08" w:rsidRPr="00EB29DE">
        <w:rPr>
          <w:rFonts w:ascii="仿宋" w:eastAsia="仿宋" w:hAnsi="仿宋" w:hint="eastAsia"/>
          <w:sz w:val="32"/>
          <w:szCs w:val="32"/>
        </w:rPr>
        <w:t>24</w:t>
      </w:r>
      <w:r w:rsidRPr="00EB29DE">
        <w:rPr>
          <w:rFonts w:ascii="仿宋" w:eastAsia="仿宋" w:hAnsi="仿宋" w:hint="eastAsia"/>
          <w:sz w:val="32"/>
          <w:szCs w:val="32"/>
        </w:rPr>
        <w:t>人，注册护士</w:t>
      </w:r>
      <w:r w:rsidR="00920FCA" w:rsidRPr="00EB29DE">
        <w:rPr>
          <w:rFonts w:ascii="仿宋" w:eastAsia="仿宋" w:hAnsi="仿宋" w:hint="eastAsia"/>
          <w:sz w:val="32"/>
          <w:szCs w:val="32"/>
        </w:rPr>
        <w:t>94</w:t>
      </w:r>
      <w:r w:rsidRPr="00EB29DE">
        <w:rPr>
          <w:rFonts w:ascii="仿宋" w:eastAsia="仿宋" w:hAnsi="仿宋" w:hint="eastAsia"/>
          <w:sz w:val="32"/>
          <w:szCs w:val="32"/>
        </w:rPr>
        <w:t>人。全市有妇幼卫生保健机构1个，卫生技术人员7人。年末全市有疾病预防控制中心1个，卫生技术人员14人。全市共有乡镇卫生院4个，床位44张，卫生技术人员45人。</w:t>
      </w:r>
    </w:p>
    <w:p w:rsidR="0010342E" w:rsidRPr="00EB29DE" w:rsidRDefault="0010342E" w:rsidP="0010342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成功举办第四届中国残疾人冰雪运动季、首届“勇闯天涯”杯阿尔山冰雪国际马拉松等冰雪赛事，荣获“冰雪旅游十强县”称号，极大促进了全市旅游经济高质量发展。</w:t>
      </w:r>
    </w:p>
    <w:p w:rsidR="007569A1" w:rsidRPr="00EB29DE" w:rsidRDefault="001B1A4A" w:rsidP="0010342E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B29DE">
        <w:rPr>
          <w:rFonts w:ascii="仿宋" w:eastAsia="仿宋" w:hAnsi="仿宋" w:hint="eastAsia"/>
          <w:b/>
          <w:sz w:val="32"/>
          <w:szCs w:val="32"/>
        </w:rPr>
        <w:lastRenderedPageBreak/>
        <w:t>十、人口、人民生活和社会保障</w:t>
      </w:r>
    </w:p>
    <w:p w:rsidR="007569A1" w:rsidRPr="00EB29DE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据公安户籍统计，年末全市户籍总人口</w:t>
      </w:r>
      <w:r w:rsidR="001F73B7" w:rsidRPr="00EB29DE">
        <w:rPr>
          <w:rFonts w:ascii="仿宋" w:eastAsia="仿宋" w:hAnsi="仿宋" w:hint="eastAsia"/>
          <w:sz w:val="32"/>
          <w:szCs w:val="32"/>
        </w:rPr>
        <w:t>44349</w:t>
      </w:r>
      <w:r w:rsidRPr="00EB29DE">
        <w:rPr>
          <w:rFonts w:ascii="仿宋" w:eastAsia="仿宋" w:hAnsi="仿宋" w:hint="eastAsia"/>
          <w:sz w:val="32"/>
          <w:szCs w:val="32"/>
        </w:rPr>
        <w:t>人，比上年减少</w:t>
      </w:r>
      <w:r w:rsidR="001F73B7" w:rsidRPr="00EB29DE">
        <w:rPr>
          <w:rFonts w:ascii="仿宋" w:eastAsia="仿宋" w:hAnsi="仿宋" w:hint="eastAsia"/>
          <w:sz w:val="32"/>
          <w:szCs w:val="32"/>
        </w:rPr>
        <w:t>920</w:t>
      </w:r>
      <w:r w:rsidRPr="00EB29DE">
        <w:rPr>
          <w:rFonts w:ascii="仿宋" w:eastAsia="仿宋" w:hAnsi="仿宋" w:hint="eastAsia"/>
          <w:sz w:val="32"/>
          <w:szCs w:val="32"/>
        </w:rPr>
        <w:t>人。其中，蒙古族人口</w:t>
      </w:r>
      <w:r w:rsidR="001F73B7" w:rsidRPr="00EB29DE">
        <w:rPr>
          <w:rFonts w:ascii="仿宋" w:eastAsia="仿宋" w:hAnsi="仿宋" w:hint="eastAsia"/>
          <w:sz w:val="32"/>
          <w:szCs w:val="32"/>
        </w:rPr>
        <w:t>8011</w:t>
      </w:r>
      <w:r w:rsidRPr="00EB29DE">
        <w:rPr>
          <w:rFonts w:ascii="仿宋" w:eastAsia="仿宋" w:hAnsi="仿宋" w:hint="eastAsia"/>
          <w:sz w:val="32"/>
          <w:szCs w:val="32"/>
        </w:rPr>
        <w:t>人,</w:t>
      </w:r>
      <w:r w:rsidR="001F73B7" w:rsidRPr="00EB29DE">
        <w:rPr>
          <w:rFonts w:ascii="仿宋" w:eastAsia="仿宋" w:hAnsi="仿宋" w:hint="eastAsia"/>
          <w:sz w:val="32"/>
          <w:szCs w:val="32"/>
        </w:rPr>
        <w:t>同比</w:t>
      </w:r>
      <w:r w:rsidR="001604FB" w:rsidRPr="00EB29DE">
        <w:rPr>
          <w:rFonts w:ascii="仿宋" w:eastAsia="仿宋" w:hAnsi="仿宋" w:hint="eastAsia"/>
          <w:sz w:val="32"/>
          <w:szCs w:val="32"/>
        </w:rPr>
        <w:t>减少</w:t>
      </w:r>
      <w:r w:rsidR="001F73B7" w:rsidRPr="00EB29DE">
        <w:rPr>
          <w:rFonts w:ascii="仿宋" w:eastAsia="仿宋" w:hAnsi="仿宋" w:hint="eastAsia"/>
          <w:sz w:val="32"/>
          <w:szCs w:val="32"/>
        </w:rPr>
        <w:t>1.5</w:t>
      </w:r>
      <w:r w:rsidRPr="00EB29DE">
        <w:rPr>
          <w:rFonts w:ascii="仿宋" w:eastAsia="仿宋" w:hAnsi="仿宋" w:hint="eastAsia"/>
          <w:sz w:val="32"/>
          <w:szCs w:val="32"/>
        </w:rPr>
        <w:t>%，占总人口的</w:t>
      </w:r>
      <w:r w:rsidR="001F73B7" w:rsidRPr="00EB29DE">
        <w:rPr>
          <w:rFonts w:ascii="仿宋" w:eastAsia="仿宋" w:hAnsi="仿宋" w:hint="eastAsia"/>
          <w:sz w:val="32"/>
          <w:szCs w:val="32"/>
        </w:rPr>
        <w:t>18.1</w:t>
      </w:r>
      <w:r w:rsidRPr="00EB29DE">
        <w:rPr>
          <w:rFonts w:ascii="仿宋" w:eastAsia="仿宋" w:hAnsi="仿宋" w:hint="eastAsia"/>
          <w:sz w:val="32"/>
          <w:szCs w:val="32"/>
        </w:rPr>
        <w:t>%</w:t>
      </w:r>
      <w:r w:rsidR="001F73B7" w:rsidRPr="00EB29DE">
        <w:rPr>
          <w:rFonts w:ascii="仿宋" w:eastAsia="仿宋" w:hAnsi="仿宋" w:hint="eastAsia"/>
          <w:sz w:val="32"/>
          <w:szCs w:val="32"/>
        </w:rPr>
        <w:t>；</w:t>
      </w:r>
      <w:r w:rsidRPr="00EB29DE">
        <w:rPr>
          <w:rFonts w:ascii="仿宋" w:eastAsia="仿宋" w:hAnsi="仿宋" w:hint="eastAsia"/>
          <w:sz w:val="32"/>
          <w:szCs w:val="32"/>
        </w:rPr>
        <w:t>其他少数民族</w:t>
      </w:r>
      <w:r w:rsidR="001F73B7" w:rsidRPr="00EB29DE">
        <w:rPr>
          <w:rFonts w:ascii="仿宋" w:eastAsia="仿宋" w:hAnsi="仿宋" w:hint="eastAsia"/>
          <w:sz w:val="32"/>
          <w:szCs w:val="32"/>
        </w:rPr>
        <w:t>1930</w:t>
      </w:r>
      <w:r w:rsidRPr="00EB29DE">
        <w:rPr>
          <w:rFonts w:ascii="仿宋" w:eastAsia="仿宋" w:hAnsi="仿宋" w:hint="eastAsia"/>
          <w:sz w:val="32"/>
          <w:szCs w:val="32"/>
        </w:rPr>
        <w:t>人，</w:t>
      </w:r>
      <w:r w:rsidR="001F73B7" w:rsidRPr="00EB29DE">
        <w:rPr>
          <w:rFonts w:ascii="仿宋" w:eastAsia="仿宋" w:hAnsi="仿宋" w:hint="eastAsia"/>
          <w:sz w:val="32"/>
          <w:szCs w:val="32"/>
        </w:rPr>
        <w:t>同比</w:t>
      </w:r>
      <w:r w:rsidR="001604FB" w:rsidRPr="00EB29DE">
        <w:rPr>
          <w:rFonts w:ascii="仿宋" w:eastAsia="仿宋" w:hAnsi="仿宋" w:hint="eastAsia"/>
          <w:sz w:val="32"/>
          <w:szCs w:val="32"/>
        </w:rPr>
        <w:t>减少</w:t>
      </w:r>
      <w:r w:rsidR="001F73B7" w:rsidRPr="00EB29DE">
        <w:rPr>
          <w:rFonts w:ascii="仿宋" w:eastAsia="仿宋" w:hAnsi="仿宋" w:hint="eastAsia"/>
          <w:sz w:val="32"/>
          <w:szCs w:val="32"/>
        </w:rPr>
        <w:t>2.6</w:t>
      </w:r>
      <w:r w:rsidRPr="00EB29DE">
        <w:rPr>
          <w:rFonts w:ascii="仿宋" w:eastAsia="仿宋" w:hAnsi="仿宋" w:hint="eastAsia"/>
          <w:sz w:val="32"/>
          <w:szCs w:val="32"/>
        </w:rPr>
        <w:t>%，占总人口的</w:t>
      </w:r>
      <w:r w:rsidR="001F73B7" w:rsidRPr="00EB29DE">
        <w:rPr>
          <w:rFonts w:ascii="仿宋" w:eastAsia="仿宋" w:hAnsi="仿宋" w:hint="eastAsia"/>
          <w:sz w:val="32"/>
          <w:szCs w:val="32"/>
        </w:rPr>
        <w:t>4.4</w:t>
      </w:r>
      <w:r w:rsidRPr="00EB29DE">
        <w:rPr>
          <w:rFonts w:ascii="仿宋" w:eastAsia="仿宋" w:hAnsi="仿宋" w:hint="eastAsia"/>
          <w:sz w:val="32"/>
          <w:szCs w:val="32"/>
        </w:rPr>
        <w:t>%。据201</w:t>
      </w:r>
      <w:r w:rsidR="001E42BC" w:rsidRPr="00EB29DE">
        <w:rPr>
          <w:rFonts w:ascii="仿宋" w:eastAsia="仿宋" w:hAnsi="仿宋" w:hint="eastAsia"/>
          <w:sz w:val="32"/>
          <w:szCs w:val="32"/>
        </w:rPr>
        <w:t>9</w:t>
      </w:r>
      <w:r w:rsidRPr="00EB29DE">
        <w:rPr>
          <w:rFonts w:ascii="仿宋" w:eastAsia="仿宋" w:hAnsi="仿宋" w:hint="eastAsia"/>
          <w:sz w:val="32"/>
          <w:szCs w:val="32"/>
        </w:rPr>
        <w:t>年人口变动抽样调查资料测算，年末全市常住人口6</w:t>
      </w:r>
      <w:r w:rsidR="00274AF2" w:rsidRPr="00EB29DE">
        <w:rPr>
          <w:rFonts w:ascii="仿宋" w:eastAsia="仿宋" w:hAnsi="仿宋" w:hint="eastAsia"/>
          <w:sz w:val="32"/>
          <w:szCs w:val="32"/>
        </w:rPr>
        <w:t>8</w:t>
      </w:r>
      <w:r w:rsidR="001E42BC" w:rsidRPr="00EB29DE">
        <w:rPr>
          <w:rFonts w:ascii="仿宋" w:eastAsia="仿宋" w:hAnsi="仿宋" w:hint="eastAsia"/>
          <w:sz w:val="32"/>
          <w:szCs w:val="32"/>
        </w:rPr>
        <w:t>4</w:t>
      </w:r>
      <w:r w:rsidR="00274AF2" w:rsidRPr="00EB29DE">
        <w:rPr>
          <w:rFonts w:ascii="仿宋" w:eastAsia="仿宋" w:hAnsi="仿宋" w:hint="eastAsia"/>
          <w:sz w:val="32"/>
          <w:szCs w:val="32"/>
        </w:rPr>
        <w:t>00</w:t>
      </w:r>
      <w:r w:rsidRPr="00EB29DE">
        <w:rPr>
          <w:rFonts w:ascii="仿宋" w:eastAsia="仿宋" w:hAnsi="仿宋" w:hint="eastAsia"/>
          <w:sz w:val="32"/>
          <w:szCs w:val="32"/>
        </w:rPr>
        <w:t>人，城镇化率为</w:t>
      </w:r>
      <w:r w:rsidR="00455091" w:rsidRPr="00EB29DE">
        <w:rPr>
          <w:rFonts w:ascii="仿宋" w:eastAsia="仿宋" w:hAnsi="仿宋" w:hint="eastAsia"/>
          <w:sz w:val="32"/>
          <w:szCs w:val="32"/>
        </w:rPr>
        <w:t>88.74</w:t>
      </w:r>
      <w:r w:rsidRPr="00EB29DE">
        <w:rPr>
          <w:rFonts w:ascii="仿宋" w:eastAsia="仿宋" w:hAnsi="仿宋" w:hint="eastAsia"/>
          <w:sz w:val="32"/>
          <w:szCs w:val="32"/>
        </w:rPr>
        <w:t>%。</w:t>
      </w:r>
    </w:p>
    <w:p w:rsidR="007569A1" w:rsidRPr="00EB29DE" w:rsidRDefault="001B1A4A" w:rsidP="008C0654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全年全市全体居民人均可支配收入</w:t>
      </w:r>
      <w:r w:rsidR="0060330A" w:rsidRPr="00EB29DE">
        <w:rPr>
          <w:rFonts w:ascii="仿宋" w:eastAsia="仿宋" w:hAnsi="仿宋" w:hint="eastAsia"/>
          <w:sz w:val="32"/>
          <w:szCs w:val="32"/>
        </w:rPr>
        <w:t>27742</w:t>
      </w:r>
      <w:r w:rsidRPr="00EB29DE">
        <w:rPr>
          <w:rFonts w:ascii="仿宋" w:eastAsia="仿宋" w:hAnsi="仿宋" w:hint="eastAsia"/>
          <w:sz w:val="32"/>
          <w:szCs w:val="32"/>
        </w:rPr>
        <w:t>元，比上年增长</w:t>
      </w:r>
      <w:r w:rsidR="0060330A" w:rsidRPr="00EB29DE">
        <w:rPr>
          <w:rFonts w:ascii="仿宋" w:eastAsia="仿宋" w:hAnsi="仿宋" w:hint="eastAsia"/>
          <w:sz w:val="32"/>
          <w:szCs w:val="32"/>
        </w:rPr>
        <w:t>9.4</w:t>
      </w:r>
      <w:r w:rsidRPr="00EB29DE">
        <w:rPr>
          <w:rFonts w:ascii="仿宋" w:eastAsia="仿宋" w:hAnsi="仿宋" w:hint="eastAsia"/>
          <w:sz w:val="32"/>
          <w:szCs w:val="32"/>
        </w:rPr>
        <w:t>%；全体居民人均消费性支出</w:t>
      </w:r>
      <w:r w:rsidR="0060330A" w:rsidRPr="00EB29DE">
        <w:rPr>
          <w:rFonts w:ascii="仿宋" w:eastAsia="仿宋" w:hAnsi="仿宋" w:hint="eastAsia"/>
          <w:sz w:val="32"/>
          <w:szCs w:val="32"/>
        </w:rPr>
        <w:t>18376</w:t>
      </w:r>
      <w:r w:rsidRPr="00EB29DE">
        <w:rPr>
          <w:rFonts w:ascii="仿宋" w:eastAsia="仿宋" w:hAnsi="仿宋" w:hint="eastAsia"/>
          <w:sz w:val="32"/>
          <w:szCs w:val="32"/>
        </w:rPr>
        <w:t>元，比上年增长</w:t>
      </w:r>
      <w:r w:rsidR="0060330A" w:rsidRPr="00EB29DE">
        <w:rPr>
          <w:rFonts w:ascii="仿宋" w:eastAsia="仿宋" w:hAnsi="仿宋" w:hint="eastAsia"/>
          <w:sz w:val="32"/>
          <w:szCs w:val="32"/>
        </w:rPr>
        <w:t>7.9</w:t>
      </w:r>
      <w:r w:rsidRPr="00EB29DE">
        <w:rPr>
          <w:rFonts w:ascii="仿宋" w:eastAsia="仿宋" w:hAnsi="仿宋" w:hint="eastAsia"/>
          <w:sz w:val="32"/>
          <w:szCs w:val="32"/>
        </w:rPr>
        <w:t>%。全年城镇常住居民人均可支配收入</w:t>
      </w:r>
      <w:r w:rsidR="0060330A" w:rsidRPr="00EB29DE">
        <w:rPr>
          <w:rFonts w:ascii="仿宋" w:eastAsia="仿宋" w:hAnsi="仿宋" w:hint="eastAsia"/>
          <w:sz w:val="32"/>
          <w:szCs w:val="32"/>
        </w:rPr>
        <w:t>29968</w:t>
      </w:r>
      <w:r w:rsidRPr="00EB29DE">
        <w:rPr>
          <w:rFonts w:ascii="仿宋" w:eastAsia="仿宋" w:hAnsi="仿宋" w:hint="eastAsia"/>
          <w:sz w:val="32"/>
          <w:szCs w:val="32"/>
        </w:rPr>
        <w:t>元，比上年增长</w:t>
      </w:r>
      <w:r w:rsidR="0060330A" w:rsidRPr="00EB29DE">
        <w:rPr>
          <w:rFonts w:ascii="仿宋" w:eastAsia="仿宋" w:hAnsi="仿宋" w:hint="eastAsia"/>
          <w:sz w:val="32"/>
          <w:szCs w:val="32"/>
        </w:rPr>
        <w:t>7.1</w:t>
      </w:r>
      <w:r w:rsidRPr="00EB29DE">
        <w:rPr>
          <w:rFonts w:ascii="仿宋" w:eastAsia="仿宋" w:hAnsi="仿宋" w:hint="eastAsia"/>
          <w:sz w:val="32"/>
          <w:szCs w:val="32"/>
        </w:rPr>
        <w:t>%。全年农村牧区常住居民人均可支配收入</w:t>
      </w:r>
      <w:r w:rsidR="0060330A" w:rsidRPr="00EB29DE">
        <w:rPr>
          <w:rFonts w:ascii="仿宋" w:eastAsia="仿宋" w:hAnsi="仿宋" w:hint="eastAsia"/>
          <w:sz w:val="32"/>
          <w:szCs w:val="32"/>
        </w:rPr>
        <w:t>11635</w:t>
      </w:r>
      <w:r w:rsidRPr="00EB29DE">
        <w:rPr>
          <w:rFonts w:ascii="仿宋" w:eastAsia="仿宋" w:hAnsi="仿宋" w:hint="eastAsia"/>
          <w:sz w:val="32"/>
          <w:szCs w:val="32"/>
        </w:rPr>
        <w:t>元，比上年增长</w:t>
      </w:r>
      <w:r w:rsidR="0060330A" w:rsidRPr="00EB29DE">
        <w:rPr>
          <w:rFonts w:ascii="仿宋" w:eastAsia="仿宋" w:hAnsi="仿宋" w:hint="eastAsia"/>
          <w:sz w:val="32"/>
          <w:szCs w:val="32"/>
        </w:rPr>
        <w:t>11.4</w:t>
      </w:r>
      <w:r w:rsidRPr="00EB29DE">
        <w:rPr>
          <w:rFonts w:ascii="仿宋" w:eastAsia="仿宋" w:hAnsi="仿宋" w:hint="eastAsia"/>
          <w:sz w:val="32"/>
          <w:szCs w:val="32"/>
        </w:rPr>
        <w:t>%。</w:t>
      </w:r>
    </w:p>
    <w:p w:rsidR="007569A1" w:rsidRPr="00EB29DE" w:rsidRDefault="0060330A">
      <w:pPr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8120" cy="2834640"/>
            <wp:effectExtent l="19050" t="0" r="17780" b="3810"/>
            <wp:docPr id="9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69A1" w:rsidRPr="00EB29DE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年末参加基本养老保险的职工</w:t>
      </w:r>
      <w:r w:rsidR="00F23B5D" w:rsidRPr="00EB29DE">
        <w:rPr>
          <w:rFonts w:ascii="宋体" w:eastAsia="宋体" w:hAnsi="宋体" w:cs="宋体" w:hint="eastAsia"/>
          <w:sz w:val="32"/>
          <w:szCs w:val="32"/>
        </w:rPr>
        <w:t>5144</w:t>
      </w:r>
      <w:r w:rsidRPr="00EB29DE">
        <w:rPr>
          <w:rFonts w:ascii="仿宋" w:eastAsia="仿宋" w:hAnsi="仿宋" w:hint="eastAsia"/>
          <w:sz w:val="32"/>
          <w:szCs w:val="32"/>
        </w:rPr>
        <w:t>人,参加基本养老保险的离退休人员</w:t>
      </w:r>
      <w:r w:rsidR="00F23B5D" w:rsidRPr="00EB29DE">
        <w:rPr>
          <w:rFonts w:ascii="宋体" w:eastAsia="宋体" w:hAnsi="宋体" w:cs="宋体" w:hint="eastAsia"/>
          <w:sz w:val="32"/>
          <w:szCs w:val="32"/>
        </w:rPr>
        <w:t>7871</w:t>
      </w:r>
      <w:r w:rsidRPr="00EB29DE">
        <w:rPr>
          <w:rFonts w:ascii="仿宋" w:eastAsia="仿宋" w:hAnsi="仿宋" w:hint="eastAsia"/>
          <w:sz w:val="32"/>
          <w:szCs w:val="32"/>
        </w:rPr>
        <w:t>人。全市城镇基本医疗保险参保人数</w:t>
      </w:r>
      <w:r w:rsidR="00455091" w:rsidRPr="00EB29DE">
        <w:rPr>
          <w:rFonts w:ascii="仿宋" w:eastAsia="仿宋" w:hAnsi="仿宋" w:hint="eastAsia"/>
          <w:sz w:val="32"/>
          <w:szCs w:val="32"/>
        </w:rPr>
        <w:lastRenderedPageBreak/>
        <w:t>15951</w:t>
      </w:r>
      <w:r w:rsidRPr="00EB29DE">
        <w:rPr>
          <w:rFonts w:ascii="仿宋" w:eastAsia="仿宋" w:hAnsi="仿宋" w:hint="eastAsia"/>
          <w:sz w:val="32"/>
          <w:szCs w:val="32"/>
        </w:rPr>
        <w:t>人。城镇居民最低生活保障人数</w:t>
      </w:r>
      <w:r w:rsidR="00455091" w:rsidRPr="00EB29DE">
        <w:rPr>
          <w:rFonts w:ascii="仿宋" w:eastAsia="仿宋" w:hAnsi="仿宋" w:hint="eastAsia"/>
          <w:sz w:val="32"/>
          <w:szCs w:val="32"/>
        </w:rPr>
        <w:t>1314</w:t>
      </w:r>
      <w:r w:rsidRPr="00EB29DE">
        <w:rPr>
          <w:rFonts w:ascii="仿宋" w:eastAsia="仿宋" w:hAnsi="仿宋" w:hint="eastAsia"/>
          <w:sz w:val="32"/>
          <w:szCs w:val="32"/>
        </w:rPr>
        <w:t>户、</w:t>
      </w:r>
      <w:r w:rsidR="00455091" w:rsidRPr="00EB29DE">
        <w:rPr>
          <w:rFonts w:ascii="仿宋" w:eastAsia="仿宋" w:hAnsi="仿宋" w:hint="eastAsia"/>
          <w:sz w:val="32"/>
          <w:szCs w:val="32"/>
        </w:rPr>
        <w:t>1797</w:t>
      </w:r>
      <w:r w:rsidRPr="00EB29DE">
        <w:rPr>
          <w:rFonts w:ascii="仿宋" w:eastAsia="仿宋" w:hAnsi="仿宋" w:hint="eastAsia"/>
          <w:sz w:val="32"/>
          <w:szCs w:val="32"/>
        </w:rPr>
        <w:t>人,共发放最低生活保障金</w:t>
      </w:r>
      <w:r w:rsidR="00455091" w:rsidRPr="00EB29DE">
        <w:rPr>
          <w:rFonts w:ascii="仿宋" w:eastAsia="仿宋" w:hAnsi="仿宋" w:hint="eastAsia"/>
          <w:sz w:val="32"/>
          <w:szCs w:val="32"/>
        </w:rPr>
        <w:t>1716.7</w:t>
      </w:r>
      <w:r w:rsidRPr="00EB29DE">
        <w:rPr>
          <w:rFonts w:ascii="仿宋" w:eastAsia="仿宋" w:hAnsi="仿宋" w:hint="eastAsia"/>
          <w:sz w:val="32"/>
          <w:szCs w:val="32"/>
        </w:rPr>
        <w:t>万元。</w:t>
      </w:r>
    </w:p>
    <w:p w:rsidR="007569A1" w:rsidRPr="00EB29DE" w:rsidRDefault="001B1A4A">
      <w:pPr>
        <w:spacing w:line="360" w:lineRule="auto"/>
        <w:ind w:rightChars="-1" w:right="-2" w:firstLineChars="206" w:firstLine="662"/>
        <w:jc w:val="both"/>
        <w:rPr>
          <w:rFonts w:ascii="仿宋" w:eastAsia="仿宋" w:hAnsi="仿宋"/>
          <w:b/>
          <w:sz w:val="32"/>
          <w:szCs w:val="32"/>
        </w:rPr>
      </w:pPr>
      <w:r w:rsidRPr="00EB29DE">
        <w:rPr>
          <w:rFonts w:ascii="仿宋" w:eastAsia="仿宋" w:hAnsi="仿宋" w:hint="eastAsia"/>
          <w:b/>
          <w:sz w:val="32"/>
          <w:szCs w:val="32"/>
        </w:rPr>
        <w:t>十一、环境保护</w:t>
      </w:r>
    </w:p>
    <w:p w:rsidR="007569A1" w:rsidRPr="00EB29DE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全年完成营造林</w:t>
      </w:r>
      <w:r w:rsidR="00A12CAC">
        <w:rPr>
          <w:rFonts w:ascii="仿宋" w:eastAsia="仿宋" w:hAnsi="仿宋" w:hint="eastAsia"/>
          <w:sz w:val="32"/>
          <w:szCs w:val="32"/>
        </w:rPr>
        <w:t>3001.5</w:t>
      </w:r>
      <w:r w:rsidRPr="00EB29DE">
        <w:rPr>
          <w:rFonts w:ascii="仿宋" w:eastAsia="仿宋" w:hAnsi="仿宋" w:hint="eastAsia"/>
          <w:sz w:val="32"/>
          <w:szCs w:val="32"/>
        </w:rPr>
        <w:t>公顷，其中，人工造林</w:t>
      </w:r>
      <w:r w:rsidR="00A12CAC">
        <w:rPr>
          <w:rFonts w:ascii="仿宋" w:eastAsia="仿宋" w:hAnsi="仿宋" w:hint="eastAsia"/>
          <w:sz w:val="32"/>
          <w:szCs w:val="32"/>
        </w:rPr>
        <w:t>333.5</w:t>
      </w:r>
      <w:r w:rsidRPr="00EB29DE">
        <w:rPr>
          <w:rFonts w:ascii="仿宋" w:eastAsia="仿宋" w:hAnsi="仿宋" w:hint="eastAsia"/>
          <w:sz w:val="32"/>
          <w:szCs w:val="32"/>
        </w:rPr>
        <w:t>公顷，完成“三北”防护林封山育林</w:t>
      </w:r>
      <w:r w:rsidR="00A12CAC">
        <w:rPr>
          <w:rFonts w:ascii="仿宋" w:eastAsia="仿宋" w:hAnsi="仿宋" w:hint="eastAsia"/>
          <w:sz w:val="32"/>
          <w:szCs w:val="32"/>
        </w:rPr>
        <w:t>667</w:t>
      </w:r>
      <w:r w:rsidRPr="00EB29DE">
        <w:rPr>
          <w:rFonts w:ascii="仿宋" w:eastAsia="仿宋" w:hAnsi="仿宋" w:hint="eastAsia"/>
          <w:sz w:val="32"/>
          <w:szCs w:val="32"/>
        </w:rPr>
        <w:t>公顷，完成森林抚育</w:t>
      </w:r>
      <w:r w:rsidR="00A12CAC">
        <w:rPr>
          <w:rFonts w:ascii="仿宋" w:eastAsia="仿宋" w:hAnsi="仿宋" w:hint="eastAsia"/>
          <w:sz w:val="32"/>
          <w:szCs w:val="32"/>
        </w:rPr>
        <w:t>2001</w:t>
      </w:r>
      <w:r w:rsidRPr="00EB29DE">
        <w:rPr>
          <w:rFonts w:ascii="仿宋" w:eastAsia="仿宋" w:hAnsi="仿宋" w:hint="eastAsia"/>
          <w:sz w:val="32"/>
          <w:szCs w:val="32"/>
        </w:rPr>
        <w:t>公顷。水土保持治理面积</w:t>
      </w:r>
      <w:r w:rsidR="00311431" w:rsidRPr="00EB29DE">
        <w:rPr>
          <w:rFonts w:ascii="仿宋" w:eastAsia="仿宋" w:hAnsi="仿宋" w:hint="eastAsia"/>
          <w:sz w:val="32"/>
          <w:szCs w:val="32"/>
        </w:rPr>
        <w:t>4669</w:t>
      </w:r>
      <w:r w:rsidRPr="00EB29DE">
        <w:rPr>
          <w:rFonts w:ascii="仿宋" w:eastAsia="仿宋" w:hAnsi="仿宋" w:hint="eastAsia"/>
          <w:sz w:val="32"/>
          <w:szCs w:val="32"/>
        </w:rPr>
        <w:t>公顷。森林面积642333.4公顷，森林覆盖率达81.2%。</w:t>
      </w:r>
    </w:p>
    <w:p w:rsidR="007569A1" w:rsidRPr="00EB29DE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B29DE">
        <w:rPr>
          <w:rFonts w:ascii="仿宋" w:eastAsia="仿宋" w:hAnsi="仿宋" w:hint="eastAsia"/>
          <w:sz w:val="32"/>
          <w:szCs w:val="32"/>
        </w:rPr>
        <w:t>全市确定自然保护区1个。其中：自治区级自然保护区1个。自然保护区面积38567公顷。</w:t>
      </w:r>
    </w:p>
    <w:p w:rsidR="007569A1" w:rsidRPr="00EB29DE" w:rsidRDefault="001B1A4A" w:rsidP="00A1478F">
      <w:pPr>
        <w:spacing w:line="360" w:lineRule="auto"/>
        <w:ind w:rightChars="-1" w:right="-2" w:firstLineChars="206" w:firstLine="494"/>
        <w:jc w:val="both"/>
        <w:rPr>
          <w:rFonts w:ascii="仿宋" w:eastAsia="仿宋" w:hAnsi="仿宋"/>
          <w:sz w:val="24"/>
          <w:szCs w:val="24"/>
        </w:rPr>
      </w:pPr>
      <w:r w:rsidRPr="00EB29DE">
        <w:rPr>
          <w:rFonts w:ascii="仿宋" w:eastAsia="仿宋" w:hAnsi="仿宋" w:hint="eastAsia"/>
          <w:sz w:val="24"/>
          <w:szCs w:val="24"/>
        </w:rPr>
        <w:t>注释：</w:t>
      </w:r>
    </w:p>
    <w:p w:rsidR="007569A1" w:rsidRPr="00EB29DE" w:rsidRDefault="001B1A4A" w:rsidP="00A1478F">
      <w:pPr>
        <w:spacing w:line="360" w:lineRule="auto"/>
        <w:ind w:rightChars="-1" w:right="-2" w:firstLineChars="206" w:firstLine="494"/>
        <w:jc w:val="both"/>
        <w:rPr>
          <w:rFonts w:ascii="仿宋" w:eastAsia="仿宋" w:hAnsi="仿宋"/>
          <w:sz w:val="24"/>
          <w:szCs w:val="24"/>
        </w:rPr>
      </w:pPr>
      <w:r w:rsidRPr="00EB29DE">
        <w:rPr>
          <w:rFonts w:ascii="仿宋" w:eastAsia="仿宋" w:hAnsi="仿宋" w:hint="eastAsia"/>
          <w:sz w:val="24"/>
          <w:szCs w:val="24"/>
        </w:rPr>
        <w:t>1、本公报数为初步统计数，生产总值及分产业增加值绝对数按现价计算，增长速度按可比价格计算。</w:t>
      </w:r>
    </w:p>
    <w:p w:rsidR="007569A1" w:rsidRPr="00EB29DE" w:rsidRDefault="001B1A4A" w:rsidP="00A1478F">
      <w:pPr>
        <w:spacing w:line="360" w:lineRule="auto"/>
        <w:ind w:rightChars="-1" w:right="-2"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EB29DE">
        <w:rPr>
          <w:rFonts w:ascii="仿宋" w:eastAsia="仿宋" w:hAnsi="仿宋" w:hint="eastAsia"/>
          <w:sz w:val="24"/>
          <w:szCs w:val="24"/>
        </w:rPr>
        <w:t>2、人口自然增长率以公安局提供的相关数据计算并对外发布。</w:t>
      </w:r>
    </w:p>
    <w:p w:rsidR="00A1478F" w:rsidRPr="00EB29DE" w:rsidRDefault="001B1A4A" w:rsidP="00A1478F">
      <w:pPr>
        <w:spacing w:line="360" w:lineRule="auto"/>
        <w:ind w:rightChars="-1" w:right="-2"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EB29DE">
        <w:rPr>
          <w:rFonts w:ascii="仿宋" w:eastAsia="仿宋" w:hAnsi="仿宋" w:hint="eastAsia"/>
          <w:sz w:val="24"/>
          <w:szCs w:val="24"/>
        </w:rPr>
        <w:t>3、森林面积以各林业局实际施业区内的森林面积之和进行计算。</w:t>
      </w:r>
    </w:p>
    <w:p w:rsidR="00A1478F" w:rsidRDefault="001B1A4A" w:rsidP="00A1478F">
      <w:pPr>
        <w:spacing w:line="360" w:lineRule="auto"/>
        <w:ind w:rightChars="-1" w:right="-2" w:firstLineChars="200" w:firstLine="480"/>
        <w:jc w:val="both"/>
        <w:rPr>
          <w:rFonts w:ascii="仿宋" w:eastAsia="仿宋" w:hAnsi="仿宋" w:cs="Times New Roman"/>
          <w:sz w:val="24"/>
          <w:szCs w:val="24"/>
        </w:rPr>
      </w:pPr>
      <w:r w:rsidRPr="00EB29DE">
        <w:rPr>
          <w:rFonts w:ascii="仿宋" w:eastAsia="仿宋" w:hAnsi="仿宋" w:hint="eastAsia"/>
          <w:sz w:val="24"/>
          <w:szCs w:val="24"/>
        </w:rPr>
        <w:t>4、</w:t>
      </w:r>
      <w:r w:rsidRPr="00EB29DE">
        <w:rPr>
          <w:rFonts w:ascii="仿宋" w:eastAsia="仿宋" w:hAnsi="仿宋" w:cs="Times New Roman" w:hint="eastAsia"/>
          <w:sz w:val="24"/>
          <w:szCs w:val="24"/>
        </w:rPr>
        <w:t>部分数据因四舍五入的原因，存在着与分项合计不等的情况。</w:t>
      </w:r>
    </w:p>
    <w:p w:rsidR="00A1478F" w:rsidRDefault="00A1478F" w:rsidP="00A1478F">
      <w:pPr>
        <w:spacing w:line="360" w:lineRule="auto"/>
        <w:ind w:rightChars="-1" w:right="-2" w:firstLineChars="200" w:firstLine="480"/>
        <w:jc w:val="both"/>
        <w:rPr>
          <w:rFonts w:ascii="仿宋" w:eastAsia="仿宋" w:hAnsi="仿宋" w:cs="Times New Roman"/>
          <w:sz w:val="24"/>
          <w:szCs w:val="24"/>
        </w:rPr>
      </w:pPr>
    </w:p>
    <w:p w:rsidR="00A1478F" w:rsidRDefault="00A1478F" w:rsidP="00A1478F">
      <w:pPr>
        <w:spacing w:line="360" w:lineRule="auto"/>
        <w:ind w:rightChars="-1" w:right="-2" w:firstLineChars="200" w:firstLine="480"/>
        <w:jc w:val="both"/>
        <w:rPr>
          <w:rFonts w:ascii="仿宋" w:eastAsia="仿宋" w:hAnsi="仿宋"/>
          <w:sz w:val="24"/>
          <w:szCs w:val="24"/>
        </w:rPr>
      </w:pPr>
    </w:p>
    <w:p w:rsidR="00A1478F" w:rsidRPr="00A1478F" w:rsidRDefault="00A1478F" w:rsidP="00A1478F">
      <w:pPr>
        <w:tabs>
          <w:tab w:val="left" w:pos="516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4"/>
          <w:szCs w:val="24"/>
        </w:rPr>
        <w:tab/>
      </w:r>
    </w:p>
    <w:sectPr w:rsidR="00A1478F" w:rsidRPr="00A1478F" w:rsidSect="007569A1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4E" w:rsidRDefault="00A17E4E" w:rsidP="007569A1">
      <w:pPr>
        <w:spacing w:after="0"/>
      </w:pPr>
      <w:r>
        <w:separator/>
      </w:r>
    </w:p>
  </w:endnote>
  <w:endnote w:type="continuationSeparator" w:id="0">
    <w:p w:rsidR="00A17E4E" w:rsidRDefault="00A17E4E" w:rsidP="007569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A1" w:rsidRDefault="006061CB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1B1A4A">
      <w:rPr>
        <w:rStyle w:val="a8"/>
      </w:rPr>
      <w:instrText xml:space="preserve">PAGE  </w:instrText>
    </w:r>
    <w:r>
      <w:fldChar w:fldCharType="end"/>
    </w:r>
  </w:p>
  <w:p w:rsidR="007569A1" w:rsidRDefault="007569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A1" w:rsidRDefault="006061CB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1B1A4A">
      <w:rPr>
        <w:rStyle w:val="a8"/>
      </w:rPr>
      <w:instrText xml:space="preserve">PAGE  </w:instrText>
    </w:r>
    <w:r>
      <w:fldChar w:fldCharType="separate"/>
    </w:r>
    <w:r w:rsidR="00022F35">
      <w:rPr>
        <w:rStyle w:val="a8"/>
        <w:noProof/>
      </w:rPr>
      <w:t>7</w:t>
    </w:r>
    <w:r>
      <w:fldChar w:fldCharType="end"/>
    </w:r>
  </w:p>
  <w:p w:rsidR="007569A1" w:rsidRDefault="007569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4E" w:rsidRDefault="00A17E4E" w:rsidP="007569A1">
      <w:pPr>
        <w:spacing w:after="0"/>
      </w:pPr>
      <w:r>
        <w:separator/>
      </w:r>
    </w:p>
  </w:footnote>
  <w:footnote w:type="continuationSeparator" w:id="0">
    <w:p w:rsidR="00A17E4E" w:rsidRDefault="00A17E4E" w:rsidP="007569A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A1" w:rsidRDefault="007569A1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A1" w:rsidRDefault="007569A1">
    <w:pPr>
      <w:pStyle w:val="a6"/>
      <w:pBdr>
        <w:bottom w:val="none" w:sz="0" w:space="0" w:color="auto"/>
      </w:pBdr>
    </w:pPr>
  </w:p>
  <w:p w:rsidR="007569A1" w:rsidRDefault="007569A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072DC"/>
    <w:rsid w:val="0001149A"/>
    <w:rsid w:val="00014EDF"/>
    <w:rsid w:val="00020DE9"/>
    <w:rsid w:val="00022F35"/>
    <w:rsid w:val="00027184"/>
    <w:rsid w:val="0003127D"/>
    <w:rsid w:val="000313D5"/>
    <w:rsid w:val="00034C63"/>
    <w:rsid w:val="00035499"/>
    <w:rsid w:val="00040C3F"/>
    <w:rsid w:val="00044888"/>
    <w:rsid w:val="000460CF"/>
    <w:rsid w:val="00074FF6"/>
    <w:rsid w:val="00083BD6"/>
    <w:rsid w:val="00083C5D"/>
    <w:rsid w:val="000868E5"/>
    <w:rsid w:val="0008705D"/>
    <w:rsid w:val="00092DFF"/>
    <w:rsid w:val="000968D7"/>
    <w:rsid w:val="000B0E01"/>
    <w:rsid w:val="000C2C10"/>
    <w:rsid w:val="000C2D80"/>
    <w:rsid w:val="000C44DF"/>
    <w:rsid w:val="000D4DEF"/>
    <w:rsid w:val="000F03DB"/>
    <w:rsid w:val="000F2410"/>
    <w:rsid w:val="000F33A0"/>
    <w:rsid w:val="000F75F5"/>
    <w:rsid w:val="0010342E"/>
    <w:rsid w:val="0010547B"/>
    <w:rsid w:val="001227B5"/>
    <w:rsid w:val="00123F62"/>
    <w:rsid w:val="00124268"/>
    <w:rsid w:val="00124F33"/>
    <w:rsid w:val="0014000B"/>
    <w:rsid w:val="00140B9E"/>
    <w:rsid w:val="00150ACF"/>
    <w:rsid w:val="00151552"/>
    <w:rsid w:val="001604FB"/>
    <w:rsid w:val="00164C3E"/>
    <w:rsid w:val="0016517E"/>
    <w:rsid w:val="00180836"/>
    <w:rsid w:val="001B1A4A"/>
    <w:rsid w:val="001B42BE"/>
    <w:rsid w:val="001D02CD"/>
    <w:rsid w:val="001E2378"/>
    <w:rsid w:val="001E42BC"/>
    <w:rsid w:val="001F73B7"/>
    <w:rsid w:val="00205E08"/>
    <w:rsid w:val="00233A94"/>
    <w:rsid w:val="00245DDD"/>
    <w:rsid w:val="00246534"/>
    <w:rsid w:val="00255122"/>
    <w:rsid w:val="00263726"/>
    <w:rsid w:val="002656F9"/>
    <w:rsid w:val="00274AF2"/>
    <w:rsid w:val="00277A32"/>
    <w:rsid w:val="002805C9"/>
    <w:rsid w:val="002824E2"/>
    <w:rsid w:val="0028448C"/>
    <w:rsid w:val="00285F30"/>
    <w:rsid w:val="002A12C2"/>
    <w:rsid w:val="002A13DB"/>
    <w:rsid w:val="002A4769"/>
    <w:rsid w:val="002B6325"/>
    <w:rsid w:val="002D3A1B"/>
    <w:rsid w:val="002E2CCF"/>
    <w:rsid w:val="002F1927"/>
    <w:rsid w:val="003061BF"/>
    <w:rsid w:val="00311431"/>
    <w:rsid w:val="00312E8A"/>
    <w:rsid w:val="003172BF"/>
    <w:rsid w:val="00321269"/>
    <w:rsid w:val="00323B43"/>
    <w:rsid w:val="00324102"/>
    <w:rsid w:val="00326BE6"/>
    <w:rsid w:val="00333F23"/>
    <w:rsid w:val="00335059"/>
    <w:rsid w:val="00335540"/>
    <w:rsid w:val="00342488"/>
    <w:rsid w:val="003468DD"/>
    <w:rsid w:val="00351C74"/>
    <w:rsid w:val="0036050B"/>
    <w:rsid w:val="00363AF7"/>
    <w:rsid w:val="00363E40"/>
    <w:rsid w:val="003730D8"/>
    <w:rsid w:val="00374BC3"/>
    <w:rsid w:val="003864AC"/>
    <w:rsid w:val="003A1935"/>
    <w:rsid w:val="003A6844"/>
    <w:rsid w:val="003A70A8"/>
    <w:rsid w:val="003B37E5"/>
    <w:rsid w:val="003C610C"/>
    <w:rsid w:val="003C69E1"/>
    <w:rsid w:val="003C703C"/>
    <w:rsid w:val="003D37D8"/>
    <w:rsid w:val="003F1D9A"/>
    <w:rsid w:val="003F3967"/>
    <w:rsid w:val="00405A88"/>
    <w:rsid w:val="00410929"/>
    <w:rsid w:val="00414601"/>
    <w:rsid w:val="00414953"/>
    <w:rsid w:val="00423A27"/>
    <w:rsid w:val="00426133"/>
    <w:rsid w:val="0043185A"/>
    <w:rsid w:val="00432DEB"/>
    <w:rsid w:val="004331B8"/>
    <w:rsid w:val="004339CE"/>
    <w:rsid w:val="004358AB"/>
    <w:rsid w:val="00435DBB"/>
    <w:rsid w:val="00437636"/>
    <w:rsid w:val="0044184B"/>
    <w:rsid w:val="00442CFD"/>
    <w:rsid w:val="0044541E"/>
    <w:rsid w:val="00455091"/>
    <w:rsid w:val="00455AF2"/>
    <w:rsid w:val="00464EC6"/>
    <w:rsid w:val="004656F1"/>
    <w:rsid w:val="0047025B"/>
    <w:rsid w:val="00486ECA"/>
    <w:rsid w:val="00487475"/>
    <w:rsid w:val="00493D6F"/>
    <w:rsid w:val="00495828"/>
    <w:rsid w:val="004A14EC"/>
    <w:rsid w:val="004B5A93"/>
    <w:rsid w:val="004B608F"/>
    <w:rsid w:val="004D1C17"/>
    <w:rsid w:val="004E4B7D"/>
    <w:rsid w:val="004F2149"/>
    <w:rsid w:val="005002FB"/>
    <w:rsid w:val="005028AA"/>
    <w:rsid w:val="00505A2A"/>
    <w:rsid w:val="005111FA"/>
    <w:rsid w:val="0051180A"/>
    <w:rsid w:val="00516071"/>
    <w:rsid w:val="00526B79"/>
    <w:rsid w:val="00535EAB"/>
    <w:rsid w:val="00557F45"/>
    <w:rsid w:val="005671B8"/>
    <w:rsid w:val="00567463"/>
    <w:rsid w:val="0056749E"/>
    <w:rsid w:val="00574D52"/>
    <w:rsid w:val="00580C32"/>
    <w:rsid w:val="00580DD4"/>
    <w:rsid w:val="00583CDC"/>
    <w:rsid w:val="00596BA6"/>
    <w:rsid w:val="005A37F9"/>
    <w:rsid w:val="005A7111"/>
    <w:rsid w:val="005A72F5"/>
    <w:rsid w:val="005B2F8F"/>
    <w:rsid w:val="005B6FB3"/>
    <w:rsid w:val="005B7DB6"/>
    <w:rsid w:val="005D4536"/>
    <w:rsid w:val="005D5550"/>
    <w:rsid w:val="005D70F8"/>
    <w:rsid w:val="005E2E6E"/>
    <w:rsid w:val="005F0245"/>
    <w:rsid w:val="005F09F8"/>
    <w:rsid w:val="005F204D"/>
    <w:rsid w:val="00602A35"/>
    <w:rsid w:val="0060330A"/>
    <w:rsid w:val="00603C0F"/>
    <w:rsid w:val="006061CB"/>
    <w:rsid w:val="00610225"/>
    <w:rsid w:val="006204A6"/>
    <w:rsid w:val="00622F33"/>
    <w:rsid w:val="00625862"/>
    <w:rsid w:val="00630ED9"/>
    <w:rsid w:val="00631904"/>
    <w:rsid w:val="0063199F"/>
    <w:rsid w:val="00634F9D"/>
    <w:rsid w:val="00635AF4"/>
    <w:rsid w:val="00643989"/>
    <w:rsid w:val="00647E1A"/>
    <w:rsid w:val="00653E28"/>
    <w:rsid w:val="006564E0"/>
    <w:rsid w:val="00672C80"/>
    <w:rsid w:val="00681D64"/>
    <w:rsid w:val="00683A10"/>
    <w:rsid w:val="006840C5"/>
    <w:rsid w:val="006843E3"/>
    <w:rsid w:val="0068705D"/>
    <w:rsid w:val="00687E7D"/>
    <w:rsid w:val="00690359"/>
    <w:rsid w:val="00696761"/>
    <w:rsid w:val="006A0BB8"/>
    <w:rsid w:val="006A2628"/>
    <w:rsid w:val="006C018C"/>
    <w:rsid w:val="006C0D78"/>
    <w:rsid w:val="006D4F74"/>
    <w:rsid w:val="006D6320"/>
    <w:rsid w:val="006D768B"/>
    <w:rsid w:val="006E100A"/>
    <w:rsid w:val="006F146B"/>
    <w:rsid w:val="00701D23"/>
    <w:rsid w:val="007028BF"/>
    <w:rsid w:val="007068DF"/>
    <w:rsid w:val="00722A3A"/>
    <w:rsid w:val="007233C0"/>
    <w:rsid w:val="007311B6"/>
    <w:rsid w:val="007328E3"/>
    <w:rsid w:val="007364E4"/>
    <w:rsid w:val="0073732A"/>
    <w:rsid w:val="007418D3"/>
    <w:rsid w:val="0074472F"/>
    <w:rsid w:val="00752908"/>
    <w:rsid w:val="007555D8"/>
    <w:rsid w:val="007569A1"/>
    <w:rsid w:val="00776662"/>
    <w:rsid w:val="00781C8C"/>
    <w:rsid w:val="00786393"/>
    <w:rsid w:val="007B05E5"/>
    <w:rsid w:val="007B3AB5"/>
    <w:rsid w:val="007B569B"/>
    <w:rsid w:val="007B7654"/>
    <w:rsid w:val="007D17CD"/>
    <w:rsid w:val="007D6B2A"/>
    <w:rsid w:val="007E641C"/>
    <w:rsid w:val="007E67C4"/>
    <w:rsid w:val="0080047E"/>
    <w:rsid w:val="00800AB3"/>
    <w:rsid w:val="00806029"/>
    <w:rsid w:val="00845023"/>
    <w:rsid w:val="008608E5"/>
    <w:rsid w:val="008649C9"/>
    <w:rsid w:val="008672A0"/>
    <w:rsid w:val="00874CF6"/>
    <w:rsid w:val="00875CDD"/>
    <w:rsid w:val="0089141E"/>
    <w:rsid w:val="008A1DC4"/>
    <w:rsid w:val="008A2D90"/>
    <w:rsid w:val="008A7C59"/>
    <w:rsid w:val="008B0B29"/>
    <w:rsid w:val="008B51DF"/>
    <w:rsid w:val="008B7726"/>
    <w:rsid w:val="008B77A2"/>
    <w:rsid w:val="008C0654"/>
    <w:rsid w:val="008C3B7D"/>
    <w:rsid w:val="008C4900"/>
    <w:rsid w:val="008D25A7"/>
    <w:rsid w:val="008D5E5E"/>
    <w:rsid w:val="008D6EDB"/>
    <w:rsid w:val="008E0622"/>
    <w:rsid w:val="008E74E1"/>
    <w:rsid w:val="008F5D1C"/>
    <w:rsid w:val="00900419"/>
    <w:rsid w:val="00903441"/>
    <w:rsid w:val="00912981"/>
    <w:rsid w:val="00920FCA"/>
    <w:rsid w:val="00932AFC"/>
    <w:rsid w:val="00933B41"/>
    <w:rsid w:val="00936728"/>
    <w:rsid w:val="009436D8"/>
    <w:rsid w:val="0094420C"/>
    <w:rsid w:val="0094500B"/>
    <w:rsid w:val="00945609"/>
    <w:rsid w:val="00947FC8"/>
    <w:rsid w:val="00950F6C"/>
    <w:rsid w:val="00954BDD"/>
    <w:rsid w:val="00966267"/>
    <w:rsid w:val="0097258C"/>
    <w:rsid w:val="00974980"/>
    <w:rsid w:val="009753C5"/>
    <w:rsid w:val="0097782B"/>
    <w:rsid w:val="0098453A"/>
    <w:rsid w:val="00985FBF"/>
    <w:rsid w:val="009868DA"/>
    <w:rsid w:val="009A596D"/>
    <w:rsid w:val="009B00A6"/>
    <w:rsid w:val="009B5F24"/>
    <w:rsid w:val="009C2A25"/>
    <w:rsid w:val="009D2D41"/>
    <w:rsid w:val="009E3293"/>
    <w:rsid w:val="009E54BB"/>
    <w:rsid w:val="00A05BE6"/>
    <w:rsid w:val="00A12C3F"/>
    <w:rsid w:val="00A12CAC"/>
    <w:rsid w:val="00A1478F"/>
    <w:rsid w:val="00A17E4E"/>
    <w:rsid w:val="00A2008B"/>
    <w:rsid w:val="00A230F5"/>
    <w:rsid w:val="00A2767F"/>
    <w:rsid w:val="00A347EF"/>
    <w:rsid w:val="00A359A5"/>
    <w:rsid w:val="00A52F85"/>
    <w:rsid w:val="00A54B1B"/>
    <w:rsid w:val="00A605B6"/>
    <w:rsid w:val="00A7028A"/>
    <w:rsid w:val="00A80635"/>
    <w:rsid w:val="00A85EAA"/>
    <w:rsid w:val="00A90D07"/>
    <w:rsid w:val="00AA3976"/>
    <w:rsid w:val="00AA39E8"/>
    <w:rsid w:val="00AB096F"/>
    <w:rsid w:val="00AB7ED5"/>
    <w:rsid w:val="00AC1CA2"/>
    <w:rsid w:val="00AC3A6B"/>
    <w:rsid w:val="00AC6013"/>
    <w:rsid w:val="00AD2F55"/>
    <w:rsid w:val="00AD60CF"/>
    <w:rsid w:val="00AE0424"/>
    <w:rsid w:val="00B0143B"/>
    <w:rsid w:val="00B02AB6"/>
    <w:rsid w:val="00B119A4"/>
    <w:rsid w:val="00B255AF"/>
    <w:rsid w:val="00B27226"/>
    <w:rsid w:val="00B47A03"/>
    <w:rsid w:val="00B53BE9"/>
    <w:rsid w:val="00B753E9"/>
    <w:rsid w:val="00B857EC"/>
    <w:rsid w:val="00B870F2"/>
    <w:rsid w:val="00B9707D"/>
    <w:rsid w:val="00BA34BE"/>
    <w:rsid w:val="00BB01B8"/>
    <w:rsid w:val="00BB31F8"/>
    <w:rsid w:val="00BB7E91"/>
    <w:rsid w:val="00BC04E7"/>
    <w:rsid w:val="00BC167F"/>
    <w:rsid w:val="00BC50C9"/>
    <w:rsid w:val="00BD3F31"/>
    <w:rsid w:val="00BE0F0C"/>
    <w:rsid w:val="00BE2C10"/>
    <w:rsid w:val="00BE2C40"/>
    <w:rsid w:val="00BE74C8"/>
    <w:rsid w:val="00BE78D4"/>
    <w:rsid w:val="00C0259F"/>
    <w:rsid w:val="00C044F5"/>
    <w:rsid w:val="00C04B79"/>
    <w:rsid w:val="00C0536D"/>
    <w:rsid w:val="00C123D1"/>
    <w:rsid w:val="00C17031"/>
    <w:rsid w:val="00C208BE"/>
    <w:rsid w:val="00C40DB8"/>
    <w:rsid w:val="00C42250"/>
    <w:rsid w:val="00C4757E"/>
    <w:rsid w:val="00C55744"/>
    <w:rsid w:val="00C569C2"/>
    <w:rsid w:val="00C6209A"/>
    <w:rsid w:val="00C62D55"/>
    <w:rsid w:val="00C76D75"/>
    <w:rsid w:val="00C81124"/>
    <w:rsid w:val="00C87EDB"/>
    <w:rsid w:val="00CB3E07"/>
    <w:rsid w:val="00CB7117"/>
    <w:rsid w:val="00CC14EB"/>
    <w:rsid w:val="00CC1F65"/>
    <w:rsid w:val="00CC6614"/>
    <w:rsid w:val="00CD0949"/>
    <w:rsid w:val="00CE3BD4"/>
    <w:rsid w:val="00CE730E"/>
    <w:rsid w:val="00CF1A5C"/>
    <w:rsid w:val="00CF4590"/>
    <w:rsid w:val="00CF6F55"/>
    <w:rsid w:val="00D005A9"/>
    <w:rsid w:val="00D008E1"/>
    <w:rsid w:val="00D01C54"/>
    <w:rsid w:val="00D07D6A"/>
    <w:rsid w:val="00D23879"/>
    <w:rsid w:val="00D31D50"/>
    <w:rsid w:val="00D434B6"/>
    <w:rsid w:val="00D4779B"/>
    <w:rsid w:val="00D477FB"/>
    <w:rsid w:val="00D61154"/>
    <w:rsid w:val="00D66726"/>
    <w:rsid w:val="00D82B64"/>
    <w:rsid w:val="00D84145"/>
    <w:rsid w:val="00D932B7"/>
    <w:rsid w:val="00DA0D72"/>
    <w:rsid w:val="00DA623D"/>
    <w:rsid w:val="00DC3AB6"/>
    <w:rsid w:val="00DC5596"/>
    <w:rsid w:val="00DD36B3"/>
    <w:rsid w:val="00DE2E89"/>
    <w:rsid w:val="00DE623B"/>
    <w:rsid w:val="00DF0E33"/>
    <w:rsid w:val="00DF610F"/>
    <w:rsid w:val="00E04BC6"/>
    <w:rsid w:val="00E06684"/>
    <w:rsid w:val="00E132FA"/>
    <w:rsid w:val="00E275C0"/>
    <w:rsid w:val="00E31980"/>
    <w:rsid w:val="00E54583"/>
    <w:rsid w:val="00E66077"/>
    <w:rsid w:val="00E6716F"/>
    <w:rsid w:val="00E70259"/>
    <w:rsid w:val="00E7666B"/>
    <w:rsid w:val="00E80062"/>
    <w:rsid w:val="00E85C5E"/>
    <w:rsid w:val="00E87447"/>
    <w:rsid w:val="00E9484E"/>
    <w:rsid w:val="00EA28A4"/>
    <w:rsid w:val="00EB29DE"/>
    <w:rsid w:val="00EB5F6B"/>
    <w:rsid w:val="00EC1190"/>
    <w:rsid w:val="00EC55E2"/>
    <w:rsid w:val="00ED0213"/>
    <w:rsid w:val="00ED628A"/>
    <w:rsid w:val="00EE1A6C"/>
    <w:rsid w:val="00EE4C85"/>
    <w:rsid w:val="00EE6634"/>
    <w:rsid w:val="00EF64DD"/>
    <w:rsid w:val="00EF6999"/>
    <w:rsid w:val="00F007A6"/>
    <w:rsid w:val="00F00998"/>
    <w:rsid w:val="00F04955"/>
    <w:rsid w:val="00F20D7A"/>
    <w:rsid w:val="00F23B5D"/>
    <w:rsid w:val="00F251B8"/>
    <w:rsid w:val="00F30A8D"/>
    <w:rsid w:val="00F3467B"/>
    <w:rsid w:val="00F362A2"/>
    <w:rsid w:val="00F40D24"/>
    <w:rsid w:val="00F447BA"/>
    <w:rsid w:val="00F46D44"/>
    <w:rsid w:val="00F62279"/>
    <w:rsid w:val="00F62D33"/>
    <w:rsid w:val="00F72E6A"/>
    <w:rsid w:val="00F7578C"/>
    <w:rsid w:val="00F803AA"/>
    <w:rsid w:val="00F839D9"/>
    <w:rsid w:val="00F9358F"/>
    <w:rsid w:val="00F948FF"/>
    <w:rsid w:val="00FA150B"/>
    <w:rsid w:val="00FA1824"/>
    <w:rsid w:val="00FA2C89"/>
    <w:rsid w:val="00FA4C44"/>
    <w:rsid w:val="00FB06BD"/>
    <w:rsid w:val="00FB0DEB"/>
    <w:rsid w:val="00FB3E01"/>
    <w:rsid w:val="00FB43F2"/>
    <w:rsid w:val="00FC0B62"/>
    <w:rsid w:val="00FC0BB1"/>
    <w:rsid w:val="00FC0C58"/>
    <w:rsid w:val="00FC12A7"/>
    <w:rsid w:val="00FE1944"/>
    <w:rsid w:val="00FE1FB0"/>
    <w:rsid w:val="02942C0C"/>
    <w:rsid w:val="077846EB"/>
    <w:rsid w:val="0B4F433F"/>
    <w:rsid w:val="0B8F79DD"/>
    <w:rsid w:val="0EE03EF8"/>
    <w:rsid w:val="109B23FB"/>
    <w:rsid w:val="146A6ED4"/>
    <w:rsid w:val="15D24DCC"/>
    <w:rsid w:val="15EF39A4"/>
    <w:rsid w:val="179A3328"/>
    <w:rsid w:val="182B71F7"/>
    <w:rsid w:val="19FB02B2"/>
    <w:rsid w:val="1A3072A7"/>
    <w:rsid w:val="1D521AB7"/>
    <w:rsid w:val="1E823890"/>
    <w:rsid w:val="20D842A5"/>
    <w:rsid w:val="211966FD"/>
    <w:rsid w:val="26481503"/>
    <w:rsid w:val="275F1F54"/>
    <w:rsid w:val="292C45E2"/>
    <w:rsid w:val="299338D0"/>
    <w:rsid w:val="2E4C16FD"/>
    <w:rsid w:val="30B34627"/>
    <w:rsid w:val="30FC0F3B"/>
    <w:rsid w:val="312447DD"/>
    <w:rsid w:val="31545C75"/>
    <w:rsid w:val="336223D0"/>
    <w:rsid w:val="33D36440"/>
    <w:rsid w:val="33F114F3"/>
    <w:rsid w:val="34C2686A"/>
    <w:rsid w:val="385A373C"/>
    <w:rsid w:val="38FA51C7"/>
    <w:rsid w:val="39E808F0"/>
    <w:rsid w:val="3F8061AC"/>
    <w:rsid w:val="3FE91038"/>
    <w:rsid w:val="424D0305"/>
    <w:rsid w:val="443176F5"/>
    <w:rsid w:val="45217D71"/>
    <w:rsid w:val="45DF2AA5"/>
    <w:rsid w:val="467E1F4A"/>
    <w:rsid w:val="47513AF1"/>
    <w:rsid w:val="47894E6F"/>
    <w:rsid w:val="4B25554F"/>
    <w:rsid w:val="4FAF77E6"/>
    <w:rsid w:val="57741D4B"/>
    <w:rsid w:val="5888630A"/>
    <w:rsid w:val="58CC77E8"/>
    <w:rsid w:val="5CC71E71"/>
    <w:rsid w:val="5DCC432B"/>
    <w:rsid w:val="65EE4180"/>
    <w:rsid w:val="67E7470C"/>
    <w:rsid w:val="68F950ED"/>
    <w:rsid w:val="6A0D2B67"/>
    <w:rsid w:val="6B64546B"/>
    <w:rsid w:val="6B9917AC"/>
    <w:rsid w:val="6F1F73E3"/>
    <w:rsid w:val="70587A16"/>
    <w:rsid w:val="74A33A69"/>
    <w:rsid w:val="762A1FA3"/>
    <w:rsid w:val="77966075"/>
    <w:rsid w:val="78A76EB0"/>
    <w:rsid w:val="7B02704F"/>
    <w:rsid w:val="7D720788"/>
    <w:rsid w:val="7F94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semiHidden="0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A1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569A1"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sid w:val="007569A1"/>
    <w:pPr>
      <w:spacing w:after="0"/>
    </w:pPr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7569A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rsid w:val="007569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7569A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page number"/>
    <w:basedOn w:val="a0"/>
    <w:qFormat/>
    <w:rsid w:val="007569A1"/>
  </w:style>
  <w:style w:type="character" w:styleId="a9">
    <w:name w:val="Hyperlink"/>
    <w:basedOn w:val="a0"/>
    <w:qFormat/>
    <w:rsid w:val="007569A1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semiHidden/>
    <w:qFormat/>
    <w:rsid w:val="007569A1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7569A1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7569A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ike.sososteel.com/doc/view/68882.html" TargetMode="Externa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25253;&#34920;\2019\&#20449;&#24687;&#20998;&#26512;\&#20844;&#25253;&#22270;&#34920;&#25968;&#25454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&#25253;&#34920;\2019\&#20449;&#24687;&#20998;&#26512;\&#20844;&#25253;&#22270;&#34920;&#25968;&#25454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E:\&#25253;&#34920;\2019\&#20449;&#24687;&#20998;&#26512;\&#20844;&#25253;&#22270;&#34920;&#25968;&#25454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E:\&#25253;&#34920;\2019\&#20844;&#25253;&#22270;&#34920;&#25968;&#25454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E:\&#25253;&#34920;\2019\&#20449;&#24687;&#20998;&#26512;\&#20844;&#25253;&#22270;&#34920;&#25968;&#25454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E:\&#25253;&#34920;\2019\&#20449;&#24687;&#20998;&#26512;\&#20844;&#25253;&#22270;&#34920;&#25968;&#2545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600">
                <a:latin typeface="+mn-ea"/>
                <a:ea typeface="+mn-ea"/>
              </a:rPr>
              <a:t>2019</a:t>
            </a:r>
            <a:r>
              <a:rPr lang="zh-CN" sz="1600">
                <a:latin typeface="+mn-ea"/>
                <a:ea typeface="+mn-ea"/>
              </a:rPr>
              <a:t>年地区生产总值</a:t>
            </a:r>
            <a:r>
              <a:rPr lang="zh-CN" altLang="en-US" sz="1600">
                <a:latin typeface="+mn-ea"/>
                <a:ea typeface="+mn-ea"/>
              </a:rPr>
              <a:t>总量</a:t>
            </a:r>
            <a:r>
              <a:rPr lang="zh-CN" sz="1600">
                <a:latin typeface="+mn-ea"/>
                <a:ea typeface="+mn-ea"/>
              </a:rPr>
              <a:t>及增速（季度累计）</a:t>
            </a:r>
          </a:p>
        </c:rich>
      </c:tx>
      <c:layout>
        <c:manualLayout>
          <c:xMode val="edge"/>
          <c:yMode val="edge"/>
          <c:x val="0.17225614318928612"/>
          <c:y val="2.6946584215869509E-2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Sheet1!$B$2</c:f>
              <c:strCache>
                <c:ptCount val="1"/>
                <c:pt idx="0">
                  <c:v>总量（万元）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>
              <a:gradFill>
                <a:gsLst>
                  <a:gs pos="0">
                    <a:srgbClr val="8488C4"/>
                  </a:gs>
                  <a:gs pos="53000">
                    <a:srgbClr val="D4DEFF"/>
                  </a:gs>
                  <a:gs pos="83000">
                    <a:srgbClr val="D4DEFF"/>
                  </a:gs>
                  <a:gs pos="100000">
                    <a:srgbClr val="96AB94"/>
                  </a:gs>
                </a:gsLst>
                <a:lin ang="5400000" scaled="0"/>
              </a:gradFill>
            </a:ln>
            <a:scene3d>
              <a:camera prst="orthographicFront"/>
              <a:lightRig rig="threePt" dir="t"/>
            </a:scene3d>
            <a:sp3d prstMaterial="plastic">
              <a:bevelT w="114300" prst="artDeco"/>
              <a:bevelB w="139700" h="139700" prst="divot"/>
            </a:sp3d>
          </c:spPr>
          <c:dLbls>
            <c:delete val="1"/>
          </c:dLbls>
          <c:cat>
            <c:strRef>
              <c:f>Sheet1!$A$3:$A$6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Sheet1!$B$3:$B$6</c:f>
              <c:numCache>
                <c:formatCode>0_);[Red]\(0\)</c:formatCode>
                <c:ptCount val="4"/>
                <c:pt idx="0">
                  <c:v>25301</c:v>
                </c:pt>
                <c:pt idx="1">
                  <c:v>80124</c:v>
                </c:pt>
                <c:pt idx="2">
                  <c:v>136178</c:v>
                </c:pt>
                <c:pt idx="3" formatCode="General">
                  <c:v>193759</c:v>
                </c:pt>
              </c:numCache>
            </c:numRef>
          </c:val>
        </c:ser>
        <c:dLbls>
          <c:showVal val="1"/>
        </c:dLbls>
        <c:gapWidth val="75"/>
        <c:overlap val="100"/>
        <c:axId val="160183808"/>
        <c:axId val="160185344"/>
      </c:barChart>
      <c:lineChart>
        <c:grouping val="standard"/>
        <c:ser>
          <c:idx val="1"/>
          <c:order val="1"/>
          <c:tx>
            <c:strRef>
              <c:f>Sheet1!$C$2</c:f>
              <c:strCache>
                <c:ptCount val="1"/>
                <c:pt idx="0">
                  <c:v>增速（%）</c:v>
                </c:pt>
              </c:strCache>
            </c:strRef>
          </c:tx>
          <c:spPr>
            <a:ln w="28575" cap="rnd" cmpd="sng" algn="ctr">
              <a:solidFill>
                <a:srgbClr val="FFFF00"/>
              </a:solidFill>
              <a:prstDash val="solid"/>
              <a:round/>
            </a:ln>
          </c:spPr>
          <c:marker>
            <c:spPr>
              <a:solidFill>
                <a:srgbClr val="FFFF00"/>
              </a:solidFill>
            </c:spPr>
          </c:marker>
          <c:dLbls>
            <c:dLbl>
              <c:idx val="0"/>
              <c:layout>
                <c:manualLayout>
                  <c:x val="-3.468208092485555E-2"/>
                  <c:y val="-5.6561085972850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8591413410516182E-2"/>
                  <c:y val="-5.09259259259259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6228284536659099E-2"/>
                  <c:y val="-8.988901580034919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Sheet1!$A$3:$A$6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Sheet1!$C$3:$C$6</c:f>
              <c:numCache>
                <c:formatCode>0.0_ </c:formatCode>
                <c:ptCount val="4"/>
                <c:pt idx="0">
                  <c:v>5.8</c:v>
                </c:pt>
                <c:pt idx="1">
                  <c:v>6.4</c:v>
                </c:pt>
                <c:pt idx="2">
                  <c:v>6.1</c:v>
                </c:pt>
                <c:pt idx="3">
                  <c:v>6.5</c:v>
                </c:pt>
              </c:numCache>
            </c:numRef>
          </c:val>
        </c:ser>
        <c:dLbls>
          <c:showVal val="1"/>
        </c:dLbls>
        <c:marker val="1"/>
        <c:axId val="160191232"/>
        <c:axId val="160192768"/>
      </c:lineChart>
      <c:catAx>
        <c:axId val="160183808"/>
        <c:scaling>
          <c:orientation val="minMax"/>
        </c:scaling>
        <c:axPos val="b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0185344"/>
        <c:crosses val="autoZero"/>
        <c:auto val="1"/>
        <c:lblAlgn val="ctr"/>
        <c:lblOffset val="100"/>
      </c:catAx>
      <c:valAx>
        <c:axId val="1601853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bg1"/>
              </a:solidFill>
              <a:prstDash val="solid"/>
              <a:round/>
            </a:ln>
          </c:spPr>
        </c:majorGridlines>
        <c:numFmt formatCode="0_);[Red]\(0\)" sourceLinked="1"/>
        <c:majorTickMark val="none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0183808"/>
        <c:crosses val="autoZero"/>
        <c:crossBetween val="between"/>
      </c:valAx>
      <c:catAx>
        <c:axId val="160191232"/>
        <c:scaling>
          <c:orientation val="minMax"/>
        </c:scaling>
        <c:delete val="1"/>
        <c:axPos val="b"/>
        <c:tickLblPos val="none"/>
        <c:crossAx val="160192768"/>
        <c:crosses val="autoZero"/>
        <c:auto val="1"/>
        <c:lblAlgn val="ctr"/>
        <c:lblOffset val="100"/>
      </c:catAx>
      <c:valAx>
        <c:axId val="160192768"/>
        <c:scaling>
          <c:orientation val="minMax"/>
        </c:scaling>
        <c:axPos val="r"/>
        <c:numFmt formatCode="0.0_ 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0191232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30819482917821212"/>
          <c:y val="0.88850503062118014"/>
          <c:w val="0.45286241920591364"/>
          <c:h val="8.3717191601050067E-2"/>
        </c:manualLayout>
      </c:layout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txPr>
    <a:bodyPr/>
    <a:lstStyle/>
    <a:p>
      <a:pPr>
        <a:defRPr lang="zh-CN" baseline="0"/>
      </a:pPr>
      <a:endParaRPr lang="zh-CN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600"/>
              <a:t>2019</a:t>
            </a:r>
            <a:r>
              <a:rPr lang="zh-CN" altLang="en-US" sz="1600"/>
              <a:t>年规模以上工业增加值累计增速</a:t>
            </a:r>
            <a:r>
              <a:rPr lang="zh-CN" altLang="en-US"/>
              <a:t> </a:t>
            </a:r>
          </a:p>
        </c:rich>
      </c:tx>
      <c:layout>
        <c:manualLayout>
          <c:xMode val="edge"/>
          <c:yMode val="edge"/>
          <c:x val="0.25942437463426243"/>
          <c:y val="5.2553266340352574E-2"/>
        </c:manualLayout>
      </c:layout>
    </c:title>
    <c:plotArea>
      <c:layout>
        <c:manualLayout>
          <c:layoutTarget val="inner"/>
          <c:xMode val="edge"/>
          <c:yMode val="edge"/>
          <c:x val="0.1022099447513813"/>
          <c:y val="0.35009057971014595"/>
          <c:w val="0.89433701657458886"/>
          <c:h val="0.6428894927536255"/>
        </c:manualLayout>
      </c:layout>
      <c:lineChart>
        <c:grouping val="standard"/>
        <c:ser>
          <c:idx val="0"/>
          <c:order val="0"/>
          <c:tx>
            <c:strRef>
              <c:f>Sheet1!$Z$3:$Z$5</c:f>
              <c:strCache>
                <c:ptCount val="1"/>
                <c:pt idx="0">
                  <c:v>2019年规模以上工业增加值累计增速 增加值累计（万元）</c:v>
                </c:pt>
              </c:strCache>
            </c:strRef>
          </c:tx>
          <c:cat>
            <c:strRef>
              <c:f>Sheet1!$Y$6:$Y$16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Sheet1!$Z$6:$Z$16</c:f>
            </c:numRef>
          </c:val>
        </c:ser>
        <c:ser>
          <c:idx val="1"/>
          <c:order val="1"/>
          <c:tx>
            <c:strRef>
              <c:f>Sheet1!$AA$5</c:f>
              <c:strCache>
                <c:ptCount val="1"/>
                <c:pt idx="0">
                  <c:v>累计增速（%）</c:v>
                </c:pt>
              </c:strCache>
            </c:strRef>
          </c:tx>
          <c:dLbls>
            <c:dLbl>
              <c:idx val="1"/>
              <c:dLblPos val="b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0405156537753E-3"/>
                  <c:y val="-6.738544474393551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8416206261510103E-2"/>
                  <c:y val="-6.738544474393551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1510128913443801E-2"/>
                  <c:y val="-4.492398355865902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3020257826887698E-3"/>
                  <c:y val="-4.043126684636113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0718232044198905E-2"/>
                  <c:y val="-4.043126684636113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9.2081031307550687E-3"/>
                  <c:y val="-2.695453162694280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6.9060773480663171E-3"/>
                  <c:y val="-2.695417789757421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3020257826887706E-2"/>
                  <c:y val="-5.390835579514807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Sheet1!$Y$6:$Y$16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Sheet1!$AA$6:$AA$16</c:f>
              <c:numCache>
                <c:formatCode>0.0_ </c:formatCode>
                <c:ptCount val="11"/>
                <c:pt idx="0">
                  <c:v>-46.1</c:v>
                </c:pt>
                <c:pt idx="1">
                  <c:v>-37.5</c:v>
                </c:pt>
                <c:pt idx="2">
                  <c:v>-42</c:v>
                </c:pt>
                <c:pt idx="3">
                  <c:v>-43.2</c:v>
                </c:pt>
                <c:pt idx="4">
                  <c:v>-44.5</c:v>
                </c:pt>
                <c:pt idx="5">
                  <c:v>-48.5</c:v>
                </c:pt>
                <c:pt idx="6">
                  <c:v>-5.8</c:v>
                </c:pt>
                <c:pt idx="7">
                  <c:v>-1.1000000000000001</c:v>
                </c:pt>
                <c:pt idx="8">
                  <c:v>-1.4</c:v>
                </c:pt>
                <c:pt idx="9">
                  <c:v>-9.4</c:v>
                </c:pt>
                <c:pt idx="10">
                  <c:v>-9.8000000000000007</c:v>
                </c:pt>
              </c:numCache>
            </c:numRef>
          </c:val>
        </c:ser>
        <c:marker val="1"/>
        <c:axId val="160222208"/>
        <c:axId val="160506624"/>
      </c:lineChart>
      <c:catAx>
        <c:axId val="160222208"/>
        <c:scaling>
          <c:orientation val="minMax"/>
        </c:scaling>
        <c:axPos val="b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0506624"/>
        <c:crosses val="autoZero"/>
        <c:auto val="1"/>
        <c:lblAlgn val="ctr"/>
        <c:lblOffset val="100"/>
      </c:catAx>
      <c:valAx>
        <c:axId val="160506624"/>
        <c:scaling>
          <c:orientation val="minMax"/>
        </c:scaling>
        <c:axPos val="l"/>
        <c:majorGridlines/>
        <c:numFmt formatCode="0.0_ " sourceLinked="1"/>
        <c:majorTickMark val="none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0222208"/>
        <c:crosses val="autoZero"/>
        <c:crossBetween val="between"/>
      </c:valAx>
    </c:plotArea>
    <c:legend>
      <c:legendPos val="b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22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2019</a:t>
            </a:r>
            <a:r>
              <a:rPr lang="zh-CN"/>
              <a:t>年</a:t>
            </a:r>
            <a:r>
              <a:rPr lang="en-US"/>
              <a:t>500</a:t>
            </a:r>
            <a:r>
              <a:rPr lang="zh-CN"/>
              <a:t>万元以上固定资产投资累计增速</a:t>
            </a:r>
          </a:p>
        </c:rich>
      </c:tx>
      <c:layout>
        <c:manualLayout>
          <c:xMode val="edge"/>
          <c:yMode val="edge"/>
          <c:x val="0.2194215228035348"/>
          <c:y val="3.2470025478572882E-2"/>
        </c:manualLayout>
      </c:layout>
    </c:title>
    <c:plotArea>
      <c:layout>
        <c:manualLayout>
          <c:layoutTarget val="inner"/>
          <c:xMode val="edge"/>
          <c:yMode val="edge"/>
          <c:x val="7.1350043975373811E-2"/>
          <c:y val="0.15652006913769947"/>
          <c:w val="0.90578276165347404"/>
          <c:h val="0.64778183214903451"/>
        </c:manualLayout>
      </c:layout>
      <c:lineChart>
        <c:grouping val="stacked"/>
        <c:ser>
          <c:idx val="0"/>
          <c:order val="0"/>
          <c:tx>
            <c:strRef>
              <c:f>[公报图表数据.xlsx]Sheet1!$S$3:$S$5</c:f>
              <c:strCache>
                <c:ptCount val="1"/>
                <c:pt idx="0">
                  <c:v>2017年500万元以上固定资产投资及累计增速 累计投资（万元）</c:v>
                </c:pt>
              </c:strCache>
            </c:strRef>
          </c:tx>
          <c:cat>
            <c:strRef>
              <c:f>[公报图表数据.xlsx]Sheet1!$R$6:$R$14</c:f>
              <c:strCache>
                <c:ptCount val="9"/>
                <c:pt idx="0">
                  <c:v>1-4月</c:v>
                </c:pt>
                <c:pt idx="1">
                  <c:v>1-5月</c:v>
                </c:pt>
                <c:pt idx="2">
                  <c:v>1-6月</c:v>
                </c:pt>
                <c:pt idx="3">
                  <c:v>1-7月</c:v>
                </c:pt>
                <c:pt idx="4">
                  <c:v>1-8月</c:v>
                </c:pt>
                <c:pt idx="5">
                  <c:v>1-9月</c:v>
                </c:pt>
                <c:pt idx="6">
                  <c:v>1-10月</c:v>
                </c:pt>
                <c:pt idx="7">
                  <c:v>1-11月</c:v>
                </c:pt>
                <c:pt idx="8">
                  <c:v>1-12月</c:v>
                </c:pt>
              </c:strCache>
            </c:strRef>
          </c:cat>
          <c:val>
            <c:numRef>
              <c:f>[公报图表数据.xlsx]Sheet1!$S$6:$S$14</c:f>
            </c:numRef>
          </c:val>
        </c:ser>
        <c:ser>
          <c:idx val="1"/>
          <c:order val="1"/>
          <c:tx>
            <c:strRef>
              <c:f>[公报图表数据.xlsx]Sheet1!$T$5</c:f>
              <c:strCache>
                <c:ptCount val="1"/>
                <c:pt idx="0">
                  <c:v>累计增速（%）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[公报图表数据.xlsx]Sheet1!$R$6:$R$14</c:f>
              <c:strCache>
                <c:ptCount val="9"/>
                <c:pt idx="0">
                  <c:v>1-4月</c:v>
                </c:pt>
                <c:pt idx="1">
                  <c:v>1-5月</c:v>
                </c:pt>
                <c:pt idx="2">
                  <c:v>1-6月</c:v>
                </c:pt>
                <c:pt idx="3">
                  <c:v>1-7月</c:v>
                </c:pt>
                <c:pt idx="4">
                  <c:v>1-8月</c:v>
                </c:pt>
                <c:pt idx="5">
                  <c:v>1-9月</c:v>
                </c:pt>
                <c:pt idx="6">
                  <c:v>1-10月</c:v>
                </c:pt>
                <c:pt idx="7">
                  <c:v>1-11月</c:v>
                </c:pt>
                <c:pt idx="8">
                  <c:v>1-12月</c:v>
                </c:pt>
              </c:strCache>
            </c:strRef>
          </c:cat>
          <c:val>
            <c:numRef>
              <c:f>[公报图表数据.xlsx]Sheet1!$T$6:$T$14</c:f>
              <c:numCache>
                <c:formatCode>0.0_ </c:formatCode>
                <c:ptCount val="9"/>
                <c:pt idx="0">
                  <c:v>-67.2</c:v>
                </c:pt>
                <c:pt idx="1">
                  <c:v>-83.1</c:v>
                </c:pt>
                <c:pt idx="2">
                  <c:v>16.3</c:v>
                </c:pt>
                <c:pt idx="3">
                  <c:v>-48.5</c:v>
                </c:pt>
                <c:pt idx="4">
                  <c:v>-66.5</c:v>
                </c:pt>
                <c:pt idx="5">
                  <c:v>-63.6</c:v>
                </c:pt>
                <c:pt idx="6">
                  <c:v>-2.5</c:v>
                </c:pt>
                <c:pt idx="7">
                  <c:v>1.4</c:v>
                </c:pt>
                <c:pt idx="8">
                  <c:v>3.9</c:v>
                </c:pt>
              </c:numCache>
            </c:numRef>
          </c:val>
        </c:ser>
        <c:marker val="1"/>
        <c:axId val="160531968"/>
        <c:axId val="160533504"/>
      </c:lineChart>
      <c:catAx>
        <c:axId val="160531968"/>
        <c:scaling>
          <c:orientation val="minMax"/>
        </c:scaling>
        <c:axPos val="b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0533504"/>
        <c:crosses val="autoZero"/>
        <c:auto val="1"/>
        <c:lblAlgn val="ctr"/>
        <c:lblOffset val="100"/>
      </c:catAx>
      <c:valAx>
        <c:axId val="160533504"/>
        <c:scaling>
          <c:orientation val="minMax"/>
        </c:scaling>
        <c:axPos val="l"/>
        <c:numFmt formatCode="0.0_ 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0531968"/>
        <c:crosses val="autoZero"/>
        <c:crossBetween val="between"/>
      </c:valAx>
    </c:plotArea>
    <c:legend>
      <c:legendPos val="b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txPr>
    <a:bodyPr/>
    <a:lstStyle/>
    <a:p>
      <a:pPr>
        <a:defRPr lang="zh-CN"/>
      </a:pPr>
      <a:endParaRPr lang="zh-CN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1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2019</a:t>
            </a:r>
            <a:r>
              <a:rPr lang="zh-CN" sz="1600"/>
              <a:t>年社会消费品零售总额及增速（季度累计）</a:t>
            </a:r>
          </a:p>
        </c:rich>
      </c:tx>
      <c:layout>
        <c:manualLayout>
          <c:xMode val="edge"/>
          <c:yMode val="edge"/>
          <c:x val="0.18464418782083125"/>
          <c:y val="2.6011863800002481E-2"/>
        </c:manualLayout>
      </c:layout>
    </c:title>
    <c:plotArea>
      <c:layout>
        <c:manualLayout>
          <c:layoutTarget val="inner"/>
          <c:xMode val="edge"/>
          <c:yMode val="edge"/>
          <c:x val="7.7121227750461332E-2"/>
          <c:y val="0.16737863287162141"/>
          <c:w val="0.85597399397127805"/>
          <c:h val="0.68850463908060899"/>
        </c:manualLayout>
      </c:layout>
      <c:barChart>
        <c:barDir val="col"/>
        <c:grouping val="stacked"/>
        <c:ser>
          <c:idx val="0"/>
          <c:order val="0"/>
          <c:tx>
            <c:strRef>
              <c:f>Sheet1!$B$16</c:f>
              <c:strCache>
                <c:ptCount val="1"/>
                <c:pt idx="0">
                  <c:v>总量（万元）</c:v>
                </c:pt>
              </c:strCache>
            </c:strRef>
          </c:tx>
          <c:dLbls>
            <c:delete val="1"/>
          </c:dLbls>
          <c:cat>
            <c:strRef>
              <c:f>Sheet1!$A$17:$A$20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Sheet1!$B$17:$B$20</c:f>
              <c:numCache>
                <c:formatCode>General</c:formatCode>
                <c:ptCount val="4"/>
                <c:pt idx="0">
                  <c:v>20643.599999999955</c:v>
                </c:pt>
                <c:pt idx="1">
                  <c:v>37952.6</c:v>
                </c:pt>
                <c:pt idx="2">
                  <c:v>61778</c:v>
                </c:pt>
                <c:pt idx="3">
                  <c:v>87444.800000000003</c:v>
                </c:pt>
              </c:numCache>
            </c:numRef>
          </c:val>
        </c:ser>
        <c:dLbls>
          <c:showVal val="1"/>
        </c:dLbls>
        <c:gapWidth val="75"/>
        <c:overlap val="100"/>
        <c:axId val="154678016"/>
        <c:axId val="154679552"/>
      </c:barChart>
      <c:lineChart>
        <c:grouping val="standard"/>
        <c:ser>
          <c:idx val="1"/>
          <c:order val="1"/>
          <c:tx>
            <c:strRef>
              <c:f>Sheet1!$C$16</c:f>
              <c:strCache>
                <c:ptCount val="1"/>
                <c:pt idx="0">
                  <c:v>增速（%）</c:v>
                </c:pt>
              </c:strCache>
            </c:strRef>
          </c:tx>
          <c:dLbls>
            <c:dLbl>
              <c:idx val="0"/>
              <c:layout>
                <c:manualLayout>
                  <c:x val="-4.2944785276073566E-2"/>
                  <c:y val="-4.946727549467279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2719836400818006E-2"/>
                  <c:y val="-5.707762557077632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7549914612201858E-2"/>
                  <c:y val="-1.067475105688124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8629856850715701E-2"/>
                  <c:y val="-5.707762557077632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Sheet1!$A$17:$A$20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Sheet1!$C$17:$C$20</c:f>
              <c:numCache>
                <c:formatCode>0.0_ </c:formatCode>
                <c:ptCount val="4"/>
                <c:pt idx="0">
                  <c:v>4.7</c:v>
                </c:pt>
                <c:pt idx="1">
                  <c:v>4.3</c:v>
                </c:pt>
                <c:pt idx="2">
                  <c:v>3.4</c:v>
                </c:pt>
                <c:pt idx="3">
                  <c:v>3.8</c:v>
                </c:pt>
              </c:numCache>
            </c:numRef>
          </c:val>
        </c:ser>
        <c:dLbls>
          <c:showVal val="1"/>
        </c:dLbls>
        <c:marker val="1"/>
        <c:axId val="154689536"/>
        <c:axId val="154691072"/>
      </c:lineChart>
      <c:catAx>
        <c:axId val="154678016"/>
        <c:scaling>
          <c:orientation val="minMax"/>
        </c:scaling>
        <c:axPos val="b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4679552"/>
        <c:crosses val="autoZero"/>
        <c:auto val="1"/>
        <c:lblAlgn val="ctr"/>
        <c:lblOffset val="100"/>
      </c:catAx>
      <c:valAx>
        <c:axId val="15467955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4678016"/>
        <c:crosses val="autoZero"/>
        <c:crossBetween val="between"/>
      </c:valAx>
      <c:catAx>
        <c:axId val="154689536"/>
        <c:scaling>
          <c:orientation val="minMax"/>
        </c:scaling>
        <c:delete val="1"/>
        <c:axPos val="b"/>
        <c:tickLblPos val="none"/>
        <c:crossAx val="154691072"/>
        <c:crosses val="autoZero"/>
        <c:auto val="1"/>
        <c:lblAlgn val="ctr"/>
        <c:lblOffset val="100"/>
      </c:catAx>
      <c:valAx>
        <c:axId val="154691072"/>
        <c:scaling>
          <c:orientation val="minMax"/>
        </c:scaling>
        <c:axPos val="r"/>
        <c:numFmt formatCode="0.0_ 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4689536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33608078602620339"/>
          <c:y val="0.93283785466597935"/>
          <c:w val="0.33875545851528399"/>
          <c:h val="5.4996695212368843E-2"/>
        </c:manualLayout>
      </c:layout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26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ea"/>
                <a:ea typeface="+mn-ea"/>
                <a:cs typeface="+mn-cs"/>
              </a:defRPr>
            </a:pPr>
            <a:r>
              <a:rPr lang="en-US">
                <a:latin typeface="+mn-ea"/>
                <a:ea typeface="+mn-ea"/>
              </a:rPr>
              <a:t>2019</a:t>
            </a:r>
            <a:r>
              <a:rPr lang="zh-CN">
                <a:latin typeface="+mn-ea"/>
                <a:ea typeface="+mn-ea"/>
              </a:rPr>
              <a:t>年旅游人数、收入及增速</a:t>
            </a:r>
            <a:endParaRPr lang="en-US" altLang="zh-CN">
              <a:latin typeface="+mn-ea"/>
              <a:ea typeface="+mn-ea"/>
            </a:endParaRPr>
          </a:p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ea"/>
                <a:ea typeface="+mn-ea"/>
                <a:cs typeface="+mn-cs"/>
              </a:defRPr>
            </a:pPr>
            <a:r>
              <a:rPr lang="zh-CN">
                <a:latin typeface="+mn-ea"/>
                <a:ea typeface="+mn-ea"/>
              </a:rPr>
              <a:t>（季度累计）</a:t>
            </a:r>
          </a:p>
        </c:rich>
      </c:tx>
      <c:layout>
        <c:manualLayout>
          <c:xMode val="edge"/>
          <c:yMode val="edge"/>
          <c:x val="0.20353278438317021"/>
          <c:y val="3.503089828929486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Sheet1!$AD$5</c:f>
              <c:strCache>
                <c:ptCount val="1"/>
                <c:pt idx="0">
                  <c:v>接待旅游人数累计（万人次）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1" i="0" u="none" strike="noStrike" kern="1200" baseline="0">
                    <a:solidFill>
                      <a:schemeClr val="tx2">
                        <a:lumMod val="60000"/>
                        <a:lumOff val="4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Sheet1!$AC$6:$AC$9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Sheet1!$AD$6:$AD$9</c:f>
              <c:numCache>
                <c:formatCode>0.00_ </c:formatCode>
                <c:ptCount val="4"/>
                <c:pt idx="0">
                  <c:v>63.32</c:v>
                </c:pt>
                <c:pt idx="1">
                  <c:v>139.76</c:v>
                </c:pt>
                <c:pt idx="2">
                  <c:v>381.5</c:v>
                </c:pt>
                <c:pt idx="3">
                  <c:v>498.6</c:v>
                </c:pt>
              </c:numCache>
            </c:numRef>
          </c:val>
        </c:ser>
        <c:ser>
          <c:idx val="2"/>
          <c:order val="2"/>
          <c:tx>
            <c:strRef>
              <c:f>Sheet1!$AF$5</c:f>
              <c:strCache>
                <c:ptCount val="1"/>
                <c:pt idx="0">
                  <c:v>旅游收入累计（亿元）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Sheet1!$AC$6:$AC$9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Sheet1!$AF$6:$AF$9</c:f>
              <c:numCache>
                <c:formatCode>0.00_);[Red]\(0.00\)</c:formatCode>
                <c:ptCount val="4"/>
                <c:pt idx="0">
                  <c:v>7.76</c:v>
                </c:pt>
                <c:pt idx="1">
                  <c:v>15.63</c:v>
                </c:pt>
                <c:pt idx="2">
                  <c:v>50</c:v>
                </c:pt>
                <c:pt idx="3">
                  <c:v>60.8</c:v>
                </c:pt>
              </c:numCache>
            </c:numRef>
          </c:val>
        </c:ser>
        <c:dLbls>
          <c:showVal val="1"/>
        </c:dLbls>
        <c:gapWidth val="75"/>
        <c:overlap val="-25"/>
        <c:axId val="156854528"/>
        <c:axId val="156868608"/>
      </c:barChart>
      <c:lineChart>
        <c:grouping val="standard"/>
        <c:ser>
          <c:idx val="1"/>
          <c:order val="1"/>
          <c:tx>
            <c:strRef>
              <c:f>Sheet1!$AE$5</c:f>
              <c:strCache>
                <c:ptCount val="1"/>
                <c:pt idx="0">
                  <c:v>人数累计增速（%）</c:v>
                </c:pt>
              </c:strCache>
            </c:strRef>
          </c:tx>
          <c:dLbls>
            <c:dLbl>
              <c:idx val="0"/>
              <c:layout>
                <c:manualLayout>
                  <c:x val="-4.2935206869633133E-2"/>
                  <c:y val="5.422993492407874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9032006245121015E-2"/>
                  <c:y val="-5.784526391901693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7580015612802502E-3"/>
                  <c:y val="-5.422993492407874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1709601873536309E-2"/>
                  <c:y val="-6.869125090383246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Sheet1!$AC$6:$AC$9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Sheet1!$AE$6:$AE$9</c:f>
              <c:numCache>
                <c:formatCode>0.0_ </c:formatCode>
                <c:ptCount val="4"/>
                <c:pt idx="0">
                  <c:v>20</c:v>
                </c:pt>
                <c:pt idx="1">
                  <c:v>18</c:v>
                </c:pt>
                <c:pt idx="2">
                  <c:v>16</c:v>
                </c:pt>
                <c:pt idx="3">
                  <c:v>16</c:v>
                </c:pt>
              </c:numCache>
            </c:numRef>
          </c:val>
        </c:ser>
        <c:ser>
          <c:idx val="3"/>
          <c:order val="3"/>
          <c:tx>
            <c:strRef>
              <c:f>Sheet1!$AG$5</c:f>
              <c:strCache>
                <c:ptCount val="1"/>
                <c:pt idx="0">
                  <c:v>收入累计增速（%）</c:v>
                </c:pt>
              </c:strCache>
            </c:strRef>
          </c:tx>
          <c:marker>
            <c:spPr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  <a:bevel/>
              </a:ln>
            </c:spPr>
          </c:marker>
          <c:dLbls>
            <c:dLbl>
              <c:idx val="0"/>
              <c:layout>
                <c:manualLayout>
                  <c:x val="-5.4644808743168904E-2"/>
                  <c:y val="-4.699927693420113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8790007806402115E-2"/>
                  <c:y val="-5.784526391901693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9516003122560507E-2"/>
                  <c:y val="5.422993492407874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516003122560521E-3"/>
                  <c:y val="2.892263195950812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1" i="0" u="none" strike="noStrike" kern="1200" baseline="0">
                    <a:solidFill>
                      <a:schemeClr val="accent4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Sheet1!$AC$6:$AC$9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Sheet1!$AG$6:$AG$9</c:f>
              <c:numCache>
                <c:formatCode>0.0_);[Red]\(0.0\)</c:formatCode>
                <c:ptCount val="4"/>
                <c:pt idx="0">
                  <c:v>20</c:v>
                </c:pt>
                <c:pt idx="1">
                  <c:v>18</c:v>
                </c:pt>
                <c:pt idx="2">
                  <c:v>16</c:v>
                </c:pt>
                <c:pt idx="3">
                  <c:v>16</c:v>
                </c:pt>
              </c:numCache>
            </c:numRef>
          </c:val>
        </c:ser>
        <c:dLbls>
          <c:showVal val="1"/>
        </c:dLbls>
        <c:marker val="1"/>
        <c:axId val="156870144"/>
        <c:axId val="156871680"/>
      </c:lineChart>
      <c:catAx>
        <c:axId val="156854528"/>
        <c:scaling>
          <c:orientation val="minMax"/>
        </c:scaling>
        <c:axPos val="b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6868608"/>
        <c:crosses val="autoZero"/>
        <c:auto val="1"/>
        <c:lblAlgn val="ctr"/>
        <c:lblOffset val="100"/>
      </c:catAx>
      <c:valAx>
        <c:axId val="1568686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bg1">
                  <a:alpha val="0"/>
                </a:schemeClr>
              </a:solidFill>
              <a:prstDash val="solid"/>
              <a:round/>
            </a:ln>
          </c:spPr>
        </c:majorGridlines>
        <c:numFmt formatCode="0.00_ 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6854528"/>
        <c:crosses val="autoZero"/>
        <c:crossBetween val="between"/>
      </c:valAx>
      <c:catAx>
        <c:axId val="156870144"/>
        <c:scaling>
          <c:orientation val="minMax"/>
        </c:scaling>
        <c:delete val="1"/>
        <c:axPos val="b"/>
        <c:tickLblPos val="none"/>
        <c:crossAx val="156871680"/>
        <c:crosses val="autoZero"/>
        <c:auto val="1"/>
        <c:lblAlgn val="ctr"/>
        <c:lblOffset val="100"/>
      </c:catAx>
      <c:valAx>
        <c:axId val="156871680"/>
        <c:scaling>
          <c:orientation val="minMax"/>
        </c:scaling>
        <c:axPos val="r"/>
        <c:numFmt formatCode="0.0_ 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6870144"/>
        <c:crosses val="max"/>
        <c:crossBetween val="between"/>
      </c:valAx>
    </c:plotArea>
    <c:legend>
      <c:legendPos val="b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29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800"/>
              <a:t>2019</a:t>
            </a:r>
            <a:r>
              <a:rPr lang="zh-CN" sz="1800"/>
              <a:t>年城镇常住居民人均可支配收入</a:t>
            </a:r>
          </a:p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sz="1800"/>
              <a:t>及增速（季度累计）</a:t>
            </a:r>
          </a:p>
        </c:rich>
      </c:tx>
      <c:layout>
        <c:manualLayout>
          <c:xMode val="edge"/>
          <c:yMode val="edge"/>
          <c:x val="0.15827150576341573"/>
          <c:y val="3.3916828944769002E-2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Sheet1!$B$25</c:f>
              <c:strCache>
                <c:ptCount val="1"/>
                <c:pt idx="0">
                  <c:v>总量（万元）</c:v>
                </c:pt>
              </c:strCache>
            </c:strRef>
          </c:tx>
          <c:spPr>
            <a:gradFill>
              <a:gsLst>
                <a:gs pos="0">
                  <a:srgbClr val="CCCCFF"/>
                </a:gs>
                <a:gs pos="17999">
                  <a:srgbClr val="99CCFF"/>
                </a:gs>
                <a:gs pos="36000">
                  <a:srgbClr val="9966FF"/>
                </a:gs>
                <a:gs pos="61000">
                  <a:srgbClr val="CC99FF"/>
                </a:gs>
                <a:gs pos="82001">
                  <a:srgbClr val="99CCFF"/>
                </a:gs>
                <a:gs pos="100000">
                  <a:srgbClr val="CCCCFF"/>
                </a:gs>
              </a:gsLst>
              <a:lin ang="2700000" scaled="0"/>
            </a:gra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relaxedInset"/>
            </a:sp3d>
          </c:spPr>
          <c:dLbls>
            <c:dLbl>
              <c:idx val="0"/>
              <c:layout>
                <c:manualLayout>
                  <c:x val="7.7609623593325834E-3"/>
                  <c:y val="-0.10273972602739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3464339575454885E-3"/>
                  <c:y val="-0.18993770357018774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9402405898331714E-3"/>
                  <c:y val="-0.26255707762557101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7448749437697651E-3"/>
                  <c:y val="-0.3671226739333283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1" i="0" u="none" strike="noStrike" kern="1200" baseline="0">
                    <a:solidFill>
                      <a:schemeClr val="tx2">
                        <a:lumMod val="60000"/>
                        <a:lumOff val="4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Sheet1!$A$26:$A$29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Sheet1!$B$26:$B$29</c:f>
              <c:numCache>
                <c:formatCode>0_ </c:formatCode>
                <c:ptCount val="4"/>
                <c:pt idx="0">
                  <c:v>7951</c:v>
                </c:pt>
                <c:pt idx="1">
                  <c:v>15049</c:v>
                </c:pt>
                <c:pt idx="2">
                  <c:v>24800</c:v>
                </c:pt>
                <c:pt idx="3">
                  <c:v>29968</c:v>
                </c:pt>
              </c:numCache>
            </c:numRef>
          </c:val>
        </c:ser>
        <c:dLbls>
          <c:showVal val="1"/>
        </c:dLbls>
        <c:gapWidth val="75"/>
        <c:overlap val="100"/>
        <c:axId val="155355776"/>
        <c:axId val="155373952"/>
      </c:barChart>
      <c:lineChart>
        <c:grouping val="standard"/>
        <c:ser>
          <c:idx val="1"/>
          <c:order val="1"/>
          <c:tx>
            <c:strRef>
              <c:f>Sheet1!$C$25</c:f>
              <c:strCache>
                <c:ptCount val="1"/>
                <c:pt idx="0">
                  <c:v>增速（%）</c:v>
                </c:pt>
              </c:strCache>
            </c:strRef>
          </c:tx>
          <c:spPr>
            <a:ln w="66675" cap="flat" cmpd="sng" algn="ctr">
              <a:solidFill>
                <a:schemeClr val="accent5"/>
              </a:solidFill>
              <a:prstDash val="solid"/>
              <a:miter lim="800000"/>
              <a:headEnd type="none" w="sm" len="sm"/>
            </a:ln>
            <a:effectLst/>
          </c:spPr>
          <c:marker>
            <c:symbol val="diamond"/>
            <c:size val="13"/>
            <c:spPr>
              <a:gradFill flip="none" rotWithShape="1">
                <a:gsLst>
                  <a:gs pos="0">
                    <a:srgbClr val="FFEFD1"/>
                  </a:gs>
                  <a:gs pos="64999">
                    <a:srgbClr val="F0EBD5"/>
                  </a:gs>
                  <a:gs pos="100000">
                    <a:srgbClr val="D1C39F"/>
                  </a:gs>
                </a:gsLst>
                <a:lin ang="2700000" scaled="0"/>
                <a:tileRect/>
              </a:gradFill>
              <a:ln w="9525" cap="sq" cmpd="sng" algn="ctr">
                <a:solidFill>
                  <a:schemeClr val="accent3">
                    <a:tint val="76667"/>
                    <a:shade val="95000"/>
                    <a:satMod val="105000"/>
                  </a:schemeClr>
                </a:solidFill>
                <a:prstDash val="solid"/>
                <a:beve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Pt>
            <c:idx val="1"/>
            <c:spPr>
              <a:ln w="66675" cap="flat" cmpd="sng" algn="ctr">
                <a:gradFill>
                  <a:gsLst>
                    <a:gs pos="0">
                      <a:srgbClr val="FBEAC7"/>
                    </a:gs>
                    <a:gs pos="17999">
                      <a:srgbClr val="FEE7F2"/>
                    </a:gs>
                    <a:gs pos="36000">
                      <a:srgbClr val="FAC77D"/>
                    </a:gs>
                    <a:gs pos="61000">
                      <a:srgbClr val="FBA97D"/>
                    </a:gs>
                    <a:gs pos="82001">
                      <a:srgbClr val="FBD49C"/>
                    </a:gs>
                    <a:gs pos="100000">
                      <a:srgbClr val="FEE7F2"/>
                    </a:gs>
                  </a:gsLst>
                  <a:lin ang="5400000" scaled="0"/>
                </a:gradFill>
                <a:prstDash val="solid"/>
                <a:miter lim="800000"/>
                <a:headEnd type="none" w="sm" len="sm"/>
              </a:ln>
              <a:effectLst/>
            </c:spPr>
          </c:dPt>
          <c:dPt>
            <c:idx val="2"/>
            <c:spPr>
              <a:ln w="66675" cap="flat" cmpd="sng" algn="ctr">
                <a:gradFill>
                  <a:gsLst>
                    <a:gs pos="0">
                      <a:srgbClr val="FBEAC7"/>
                    </a:gs>
                    <a:gs pos="17999">
                      <a:srgbClr val="FEE7F2"/>
                    </a:gs>
                    <a:gs pos="36000">
                      <a:srgbClr val="FAC77D"/>
                    </a:gs>
                    <a:gs pos="61000">
                      <a:srgbClr val="FBA97D"/>
                    </a:gs>
                    <a:gs pos="82001">
                      <a:srgbClr val="FBD49C"/>
                    </a:gs>
                    <a:gs pos="100000">
                      <a:srgbClr val="FEE7F2"/>
                    </a:gs>
                  </a:gsLst>
                  <a:lin ang="5400000" scaled="0"/>
                </a:gradFill>
                <a:prstDash val="solid"/>
                <a:miter lim="800000"/>
                <a:headEnd type="none" w="sm" len="sm"/>
              </a:ln>
              <a:effectLst/>
            </c:spPr>
          </c:dPt>
          <c:dPt>
            <c:idx val="3"/>
            <c:spPr>
              <a:ln w="66675" cap="flat" cmpd="sng" algn="ctr">
                <a:gradFill>
                  <a:gsLst>
                    <a:gs pos="0">
                      <a:srgbClr val="FBEAC7"/>
                    </a:gs>
                    <a:gs pos="17999">
                      <a:srgbClr val="FEE7F2"/>
                    </a:gs>
                    <a:gs pos="36000">
                      <a:srgbClr val="FAC77D"/>
                    </a:gs>
                    <a:gs pos="61000">
                      <a:srgbClr val="FBA97D"/>
                    </a:gs>
                    <a:gs pos="82001">
                      <a:srgbClr val="FBD49C"/>
                    </a:gs>
                    <a:gs pos="100000">
                      <a:srgbClr val="FEE7F2"/>
                    </a:gs>
                  </a:gsLst>
                  <a:lin ang="5400000" scaled="0"/>
                </a:gradFill>
                <a:prstDash val="solid"/>
                <a:miter lim="800000"/>
                <a:headEnd type="none" w="sm" len="sm"/>
              </a:ln>
              <a:effectLst/>
            </c:spPr>
          </c:dPt>
          <c:dLbls>
            <c:dLbl>
              <c:idx val="0"/>
              <c:layout>
                <c:manualLayout>
                  <c:x val="-3.6864571206829601E-2"/>
                  <c:y val="-6.849315068493151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4924330616996499E-2"/>
                  <c:y val="-6.849315068493151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8804811796662814E-2"/>
                  <c:y val="7.229832572298321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9662138627656631E-4"/>
                  <c:y val="-1.5220700152207402E-3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Sheet1!$A$26:$A$29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Sheet1!$C$26:$C$29</c:f>
              <c:numCache>
                <c:formatCode>0.0_ </c:formatCode>
                <c:ptCount val="4"/>
                <c:pt idx="0">
                  <c:v>7.4</c:v>
                </c:pt>
                <c:pt idx="1">
                  <c:v>7.1</c:v>
                </c:pt>
                <c:pt idx="2">
                  <c:v>7.1</c:v>
                </c:pt>
                <c:pt idx="3">
                  <c:v>7.1</c:v>
                </c:pt>
              </c:numCache>
            </c:numRef>
          </c:val>
        </c:ser>
        <c:dLbls>
          <c:showVal val="1"/>
        </c:dLbls>
        <c:marker val="1"/>
        <c:axId val="155375488"/>
        <c:axId val="155377024"/>
      </c:lineChart>
      <c:catAx>
        <c:axId val="155355776"/>
        <c:scaling>
          <c:orientation val="minMax"/>
        </c:scaling>
        <c:axPos val="b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5373952"/>
        <c:crosses val="autoZero"/>
        <c:auto val="1"/>
        <c:lblAlgn val="ctr"/>
        <c:lblOffset val="100"/>
      </c:catAx>
      <c:valAx>
        <c:axId val="155373952"/>
        <c:scaling>
          <c:orientation val="minMax"/>
        </c:scaling>
        <c:axPos val="l"/>
        <c:majorGridlines/>
        <c:numFmt formatCode="0_ 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5355776"/>
        <c:crosses val="autoZero"/>
        <c:crossBetween val="between"/>
      </c:valAx>
      <c:catAx>
        <c:axId val="155375488"/>
        <c:scaling>
          <c:orientation val="minMax"/>
        </c:scaling>
        <c:delete val="1"/>
        <c:axPos val="b"/>
        <c:tickLblPos val="none"/>
        <c:crossAx val="155377024"/>
        <c:crosses val="autoZero"/>
        <c:auto val="1"/>
        <c:lblAlgn val="ctr"/>
        <c:lblOffset val="100"/>
      </c:catAx>
      <c:valAx>
        <c:axId val="155377024"/>
        <c:scaling>
          <c:orientation val="minMax"/>
        </c:scaling>
        <c:axPos val="r"/>
        <c:numFmt formatCode="0.0_ 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5375488"/>
        <c:crosses val="max"/>
        <c:crossBetween val="between"/>
      </c:valAx>
    </c:plotArea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0.0143</cdr:x>
      <cdr:y>0</cdr:y>
    </cdr:from>
    <cdr:to>
      <cdr:x>0.15142</cdr:x>
      <cdr:y>0.08334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75163" y="-38686"/>
          <a:ext cx="720748" cy="2178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lIns="45720" tIns="45720" rIns="45720" bIns="45720" rtlCol="0" anchor="t" anchorCtr="0">
          <a:normAutofit/>
        </a:bodyPr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0.03479</cdr:x>
      <cdr:y>0.0193</cdr:y>
    </cdr:from>
    <cdr:to>
      <cdr:x>0.18992</cdr:x>
      <cdr:y>0.12242</cdr:y>
    </cdr:to>
    <cdr:sp macro="" textlink="">
      <cdr:nvSpPr>
        <cdr:cNvPr id="3" name="矩形 2"/>
        <cdr:cNvSpPr/>
      </cdr:nvSpPr>
      <cdr:spPr>
        <a:xfrm xmlns:a="http://schemas.openxmlformats.org/drawingml/2006/main">
          <a:off x="182880" y="50458"/>
          <a:ext cx="815415" cy="2695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lIns="45720" tIns="45720" rIns="45720" bIns="45720" rtlCol="0" anchor="t" anchorCtr="0">
          <a:normAutofit/>
        </a:bodyPr>
        <a:lstStyle xmlns:a="http://schemas.openxmlformats.org/drawingml/2006/main"/>
        <a:p xmlns:a="http://schemas.openxmlformats.org/drawingml/2006/main">
          <a:r>
            <a:rPr lang="zh-CN" altLang="en-US" sz="1400" b="1">
              <a:latin typeface="+mn-ea"/>
              <a:ea typeface="+mn-ea"/>
            </a:rPr>
            <a:t>图</a:t>
          </a:r>
          <a:r>
            <a:rPr lang="en-US" altLang="zh-CN" sz="1400" b="1">
              <a:latin typeface="+mn-ea"/>
              <a:ea typeface="+mn-ea"/>
            </a:rPr>
            <a:t>1</a:t>
          </a:r>
          <a:endParaRPr lang="zh-CN" altLang="en-US" sz="1400" b="1">
            <a:latin typeface="+mn-ea"/>
            <a:ea typeface="+mn-ea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0.10482</cdr:x>
      <cdr:y>0.03889</cdr:y>
    </cdr:from>
    <cdr:to>
      <cdr:x>0.22946</cdr:x>
      <cdr:y>0.15936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566032" y="94406"/>
          <a:ext cx="673061" cy="2924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en-US" sz="1600" b="1"/>
            <a:t>图</a:t>
          </a:r>
          <a:r>
            <a:rPr lang="en-US" altLang="zh-CN" sz="1600" b="1"/>
            <a:t>2</a:t>
          </a:r>
          <a:endParaRPr lang="zh-CN" altLang="en-US" sz="16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0.05518</cdr:x>
      <cdr:y>0.02326</cdr:y>
    </cdr:from>
    <cdr:to>
      <cdr:x>0.19373</cdr:x>
      <cdr:y>0.12504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395644" y="84075"/>
          <a:ext cx="993462" cy="3678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en-US" sz="1400" b="1"/>
            <a:t>图</a:t>
          </a:r>
          <a:r>
            <a:rPr lang="en-US" altLang="zh-CN" sz="1400" b="1"/>
            <a:t>3</a:t>
          </a:r>
          <a:endParaRPr lang="zh-CN" altLang="en-US" sz="1400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0.05644</cdr:x>
      <cdr:y>0.02054</cdr:y>
    </cdr:from>
    <cdr:to>
      <cdr:x>0.17883</cdr:x>
      <cdr:y>0.1073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304777" y="63456"/>
          <a:ext cx="660911" cy="2680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en-US" sz="1600" b="1"/>
            <a:t>图</a:t>
          </a:r>
          <a:r>
            <a:rPr lang="en-US" sz="1600" b="1"/>
            <a:t>4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0.05801</cdr:x>
      <cdr:y>0.03286</cdr:y>
    </cdr:from>
    <cdr:to>
      <cdr:x>0.19852</cdr:x>
      <cdr:y>0.13339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305974" y="93856"/>
          <a:ext cx="741093" cy="28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lIns="45720" tIns="45720" rIns="45720" bIns="45720" rtlCol="0" anchor="t" anchorCtr="0">
          <a:normAutofit/>
        </a:bodyPr>
        <a:lstStyle xmlns:a="http://schemas.openxmlformats.org/drawingml/2006/main"/>
        <a:p xmlns:a="http://schemas.openxmlformats.org/drawingml/2006/main">
          <a:r>
            <a:rPr lang="zh-CN" altLang="en-US" sz="1600" b="1">
              <a:latin typeface="+mn-ea"/>
              <a:ea typeface="+mn-ea"/>
            </a:rPr>
            <a:t>图</a:t>
          </a:r>
          <a:r>
            <a:rPr lang="en-US" altLang="zh-CN" sz="1600" b="1">
              <a:latin typeface="+mn-ea"/>
              <a:ea typeface="+mn-ea"/>
            </a:rPr>
            <a:t>5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0.00993</cdr:x>
      <cdr:y>0.0378</cdr:y>
    </cdr:from>
    <cdr:to>
      <cdr:x>0.10331</cdr:x>
      <cdr:y>0.16616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52389" y="95618"/>
          <a:ext cx="492871" cy="3247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lIns="45720" tIns="45720" rIns="45720" bIns="45720" rtlCol="0" anchor="t" anchorCtr="0">
          <a:normAutofit/>
        </a:bodyPr>
        <a:lstStyle xmlns:a="http://schemas.openxmlformats.org/drawingml/2006/main"/>
        <a:p xmlns:a="http://schemas.openxmlformats.org/drawingml/2006/main">
          <a:r>
            <a:rPr lang="zh-CN" altLang="en-US" sz="1400" b="1"/>
            <a:t>图</a:t>
          </a:r>
          <a:r>
            <a:rPr lang="en-US" altLang="zh-CN" sz="1400" b="1"/>
            <a:t>6</a:t>
          </a:r>
          <a:endParaRPr lang="en-US" sz="1400" b="1"/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2828B4-9BA6-44CC-BF23-9C2F0C22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11</Pages>
  <Words>593</Words>
  <Characters>3386</Characters>
  <Application>Microsoft Office Word</Application>
  <DocSecurity>0</DocSecurity>
  <Lines>28</Lines>
  <Paragraphs>7</Paragraphs>
  <ScaleCrop>false</ScaleCrop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166</cp:revision>
  <cp:lastPrinted>2019-05-13T00:41:00Z</cp:lastPrinted>
  <dcterms:created xsi:type="dcterms:W3CDTF">2008-09-11T17:20:00Z</dcterms:created>
  <dcterms:modified xsi:type="dcterms:W3CDTF">2020-04-14T08:59:00Z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