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rawings/drawing6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A1" w:rsidRPr="00EE6634" w:rsidRDefault="001B1A4A">
      <w:pPr>
        <w:ind w:firstLine="510"/>
        <w:jc w:val="center"/>
        <w:rPr>
          <w:rFonts w:ascii="黑体" w:eastAsia="黑体"/>
          <w:sz w:val="44"/>
          <w:szCs w:val="44"/>
        </w:rPr>
      </w:pPr>
      <w:r w:rsidRPr="00EE6634">
        <w:rPr>
          <w:rFonts w:ascii="黑体" w:eastAsia="黑体" w:hint="eastAsia"/>
          <w:sz w:val="44"/>
          <w:szCs w:val="44"/>
        </w:rPr>
        <w:t>201</w:t>
      </w:r>
      <w:r w:rsidR="00D01C54" w:rsidRPr="00EE6634">
        <w:rPr>
          <w:rFonts w:ascii="黑体" w:eastAsia="黑体" w:hint="eastAsia"/>
          <w:sz w:val="44"/>
          <w:szCs w:val="44"/>
        </w:rPr>
        <w:t>8</w:t>
      </w:r>
      <w:r w:rsidRPr="00EE6634">
        <w:rPr>
          <w:rFonts w:ascii="黑体" w:eastAsia="黑体" w:hint="eastAsia"/>
          <w:sz w:val="44"/>
          <w:szCs w:val="44"/>
        </w:rPr>
        <w:t>年阿尔山市国民</w:t>
      </w:r>
    </w:p>
    <w:p w:rsidR="007569A1" w:rsidRPr="00EE6634" w:rsidRDefault="001B1A4A">
      <w:pPr>
        <w:ind w:firstLine="510"/>
        <w:jc w:val="center"/>
        <w:rPr>
          <w:rFonts w:ascii="黑体" w:eastAsia="黑体"/>
          <w:sz w:val="44"/>
          <w:szCs w:val="44"/>
        </w:rPr>
      </w:pPr>
      <w:r w:rsidRPr="00EE6634">
        <w:rPr>
          <w:rFonts w:ascii="黑体" w:eastAsia="黑体" w:hint="eastAsia"/>
          <w:sz w:val="44"/>
          <w:szCs w:val="44"/>
        </w:rPr>
        <w:t>经济和社会发展统计公报</w:t>
      </w:r>
    </w:p>
    <w:p w:rsidR="007569A1" w:rsidRPr="00EE6634" w:rsidRDefault="007569A1">
      <w:pPr>
        <w:ind w:firstLine="510"/>
        <w:jc w:val="center"/>
        <w:rPr>
          <w:rFonts w:ascii="宋体"/>
          <w:sz w:val="28"/>
          <w:szCs w:val="28"/>
        </w:rPr>
      </w:pPr>
    </w:p>
    <w:p w:rsidR="007569A1" w:rsidRPr="00EE6634" w:rsidRDefault="001B1A4A">
      <w:pPr>
        <w:ind w:firstLine="510"/>
        <w:jc w:val="center"/>
        <w:rPr>
          <w:rFonts w:ascii="仿宋" w:eastAsia="仿宋" w:hAnsi="仿宋"/>
          <w:sz w:val="32"/>
          <w:szCs w:val="32"/>
        </w:rPr>
      </w:pPr>
      <w:r w:rsidRPr="00EE6634">
        <w:rPr>
          <w:rFonts w:ascii="仿宋" w:eastAsia="仿宋" w:hAnsi="仿宋" w:hint="eastAsia"/>
          <w:sz w:val="32"/>
          <w:szCs w:val="32"/>
        </w:rPr>
        <w:t>阿尔山市统计局</w:t>
      </w:r>
    </w:p>
    <w:p w:rsidR="007569A1" w:rsidRPr="00EE6634" w:rsidRDefault="001B1A4A">
      <w:pPr>
        <w:ind w:rightChars="-4" w:right="-9" w:firstLine="510"/>
        <w:jc w:val="center"/>
        <w:rPr>
          <w:rFonts w:ascii="仿宋" w:eastAsia="仿宋" w:hAnsi="仿宋"/>
          <w:sz w:val="32"/>
          <w:szCs w:val="32"/>
        </w:rPr>
      </w:pPr>
      <w:r w:rsidRPr="00EE6634">
        <w:rPr>
          <w:rFonts w:ascii="仿宋" w:eastAsia="仿宋" w:hAnsi="仿宋" w:hint="eastAsia"/>
          <w:sz w:val="32"/>
          <w:szCs w:val="32"/>
        </w:rPr>
        <w:t>（201</w:t>
      </w:r>
      <w:r w:rsidR="00E9484E" w:rsidRPr="00EE6634">
        <w:rPr>
          <w:rFonts w:ascii="仿宋" w:eastAsia="仿宋" w:hAnsi="仿宋" w:hint="eastAsia"/>
          <w:sz w:val="32"/>
          <w:szCs w:val="32"/>
        </w:rPr>
        <w:t>9</w:t>
      </w:r>
      <w:r w:rsidRPr="00EE6634">
        <w:rPr>
          <w:rFonts w:ascii="仿宋" w:eastAsia="仿宋" w:hAnsi="仿宋" w:hint="eastAsia"/>
          <w:sz w:val="32"/>
          <w:szCs w:val="32"/>
        </w:rPr>
        <w:t>年4月10日）</w:t>
      </w:r>
    </w:p>
    <w:p w:rsidR="007569A1" w:rsidRPr="00EE6634" w:rsidRDefault="001B1A4A" w:rsidP="00E9484E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E6634">
        <w:rPr>
          <w:rFonts w:ascii="仿宋" w:eastAsia="仿宋" w:hAnsi="仿宋" w:hint="eastAsia"/>
          <w:sz w:val="32"/>
          <w:szCs w:val="32"/>
        </w:rPr>
        <w:t>201</w:t>
      </w:r>
      <w:r w:rsidR="00E9484E" w:rsidRPr="00EE6634">
        <w:rPr>
          <w:rFonts w:ascii="仿宋" w:eastAsia="仿宋" w:hAnsi="仿宋" w:hint="eastAsia"/>
          <w:sz w:val="32"/>
          <w:szCs w:val="32"/>
        </w:rPr>
        <w:t>8</w:t>
      </w:r>
      <w:r w:rsidRPr="00EE6634">
        <w:rPr>
          <w:rFonts w:ascii="仿宋" w:eastAsia="仿宋" w:hAnsi="仿宋" w:hint="eastAsia"/>
          <w:sz w:val="32"/>
          <w:szCs w:val="32"/>
        </w:rPr>
        <w:t>年，</w:t>
      </w:r>
      <w:r w:rsidR="00E9484E" w:rsidRPr="00EE6634">
        <w:rPr>
          <w:rFonts w:ascii="仿宋" w:eastAsia="仿宋" w:hAnsi="仿宋" w:hint="eastAsia"/>
          <w:sz w:val="32"/>
          <w:szCs w:val="32"/>
        </w:rPr>
        <w:t>阿尔山市委、政府团结带领全市各族干部群众，全面贯彻落实党中央、自治区党委和盟委各项决策部署，切实履行管党治党政治责任，紧盯打赢打好“三大攻坚战”不放松、聚焦增进人民福祉不懈怠，各项工作均取得了新的成绩，经济社会呈现出良好的发展势头</w:t>
      </w:r>
    </w:p>
    <w:p w:rsidR="007569A1" w:rsidRPr="00EE6634" w:rsidRDefault="001B1A4A">
      <w:pPr>
        <w:spacing w:line="360" w:lineRule="auto"/>
        <w:ind w:firstLineChars="200" w:firstLine="643"/>
        <w:jc w:val="both"/>
        <w:rPr>
          <w:rFonts w:ascii="仿宋" w:eastAsia="仿宋" w:hAnsi="仿宋"/>
          <w:b/>
          <w:sz w:val="32"/>
          <w:szCs w:val="32"/>
        </w:rPr>
      </w:pPr>
      <w:r w:rsidRPr="00EE6634">
        <w:rPr>
          <w:rFonts w:ascii="仿宋" w:eastAsia="仿宋" w:hAnsi="仿宋" w:hint="eastAsia"/>
          <w:b/>
          <w:sz w:val="32"/>
          <w:szCs w:val="32"/>
        </w:rPr>
        <w:t>一、综合</w:t>
      </w:r>
    </w:p>
    <w:p w:rsidR="007569A1" w:rsidRPr="00EE6634" w:rsidRDefault="001B1A4A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E6634">
        <w:rPr>
          <w:rFonts w:ascii="仿宋" w:eastAsia="仿宋" w:hAnsi="仿宋" w:hint="eastAsia"/>
          <w:sz w:val="32"/>
          <w:szCs w:val="32"/>
        </w:rPr>
        <w:t>初步核算，全年实现地区生产总值</w:t>
      </w:r>
      <w:r w:rsidR="00D01C54" w:rsidRPr="00EE6634">
        <w:rPr>
          <w:rFonts w:ascii="仿宋" w:eastAsia="仿宋" w:hAnsi="仿宋" w:hint="eastAsia"/>
          <w:sz w:val="32"/>
          <w:szCs w:val="32"/>
        </w:rPr>
        <w:t>170920</w:t>
      </w:r>
      <w:r w:rsidRPr="00EE6634">
        <w:rPr>
          <w:rFonts w:ascii="仿宋" w:eastAsia="仿宋" w:hAnsi="仿宋" w:hint="eastAsia"/>
          <w:sz w:val="32"/>
          <w:szCs w:val="32"/>
        </w:rPr>
        <w:t>万元，按可比价格计算，比上年增长</w:t>
      </w:r>
      <w:r w:rsidR="00D01C54" w:rsidRPr="00EE6634">
        <w:rPr>
          <w:rFonts w:ascii="仿宋" w:eastAsia="仿宋" w:hAnsi="仿宋" w:hint="eastAsia"/>
          <w:sz w:val="32"/>
          <w:szCs w:val="32"/>
        </w:rPr>
        <w:t>5.0</w:t>
      </w:r>
      <w:r w:rsidRPr="00EE6634">
        <w:rPr>
          <w:rFonts w:ascii="仿宋" w:eastAsia="仿宋" w:hAnsi="仿宋" w:hint="eastAsia"/>
          <w:sz w:val="32"/>
          <w:szCs w:val="32"/>
        </w:rPr>
        <w:t>%。其中，第一产业增加值</w:t>
      </w:r>
      <w:r w:rsidR="00D01C54" w:rsidRPr="00EE6634">
        <w:rPr>
          <w:rFonts w:ascii="仿宋" w:eastAsia="仿宋" w:hAnsi="仿宋" w:hint="eastAsia"/>
          <w:sz w:val="32"/>
          <w:szCs w:val="32"/>
        </w:rPr>
        <w:t>34028</w:t>
      </w:r>
      <w:r w:rsidRPr="00EE6634">
        <w:rPr>
          <w:rFonts w:ascii="仿宋" w:eastAsia="仿宋" w:hAnsi="仿宋" w:hint="eastAsia"/>
          <w:sz w:val="32"/>
          <w:szCs w:val="32"/>
        </w:rPr>
        <w:t>万元，增长</w:t>
      </w:r>
      <w:r w:rsidR="00D01C54" w:rsidRPr="00EE6634">
        <w:rPr>
          <w:rFonts w:ascii="仿宋" w:eastAsia="仿宋" w:hAnsi="仿宋" w:hint="eastAsia"/>
          <w:sz w:val="32"/>
          <w:szCs w:val="32"/>
        </w:rPr>
        <w:t>5.2</w:t>
      </w:r>
      <w:r w:rsidRPr="00EE6634">
        <w:rPr>
          <w:rFonts w:ascii="仿宋" w:eastAsia="仿宋" w:hAnsi="仿宋" w:hint="eastAsia"/>
          <w:sz w:val="32"/>
          <w:szCs w:val="32"/>
        </w:rPr>
        <w:t>%；第二产业增加值</w:t>
      </w:r>
      <w:r w:rsidR="00D01C54" w:rsidRPr="00EE6634">
        <w:rPr>
          <w:rFonts w:ascii="仿宋" w:eastAsia="仿宋" w:hAnsi="仿宋" w:hint="eastAsia"/>
          <w:sz w:val="32"/>
          <w:szCs w:val="32"/>
        </w:rPr>
        <w:t>31511</w:t>
      </w:r>
      <w:r w:rsidRPr="00EE6634">
        <w:rPr>
          <w:rFonts w:ascii="仿宋" w:eastAsia="仿宋" w:hAnsi="仿宋" w:hint="eastAsia"/>
          <w:sz w:val="32"/>
          <w:szCs w:val="32"/>
        </w:rPr>
        <w:t>万元，下降</w:t>
      </w:r>
      <w:r w:rsidR="00D01C54" w:rsidRPr="00EE6634">
        <w:rPr>
          <w:rFonts w:ascii="仿宋" w:eastAsia="仿宋" w:hAnsi="仿宋" w:hint="eastAsia"/>
          <w:sz w:val="32"/>
          <w:szCs w:val="32"/>
        </w:rPr>
        <w:t>0</w:t>
      </w:r>
      <w:r w:rsidRPr="00EE6634">
        <w:rPr>
          <w:rFonts w:ascii="仿宋" w:eastAsia="仿宋" w:hAnsi="仿宋" w:hint="eastAsia"/>
          <w:sz w:val="32"/>
          <w:szCs w:val="32"/>
        </w:rPr>
        <w:t>.2%；第三产业增加值</w:t>
      </w:r>
      <w:r w:rsidR="00D01C54" w:rsidRPr="00EE6634">
        <w:rPr>
          <w:rFonts w:ascii="仿宋" w:eastAsia="仿宋" w:hAnsi="仿宋" w:hint="eastAsia"/>
          <w:sz w:val="32"/>
          <w:szCs w:val="32"/>
        </w:rPr>
        <w:t>105381</w:t>
      </w:r>
      <w:r w:rsidRPr="00EE6634">
        <w:rPr>
          <w:rFonts w:ascii="仿宋" w:eastAsia="仿宋" w:hAnsi="仿宋" w:hint="eastAsia"/>
          <w:sz w:val="32"/>
          <w:szCs w:val="32"/>
        </w:rPr>
        <w:t>万元，增长</w:t>
      </w:r>
      <w:r w:rsidR="00D01C54" w:rsidRPr="00EE6634">
        <w:rPr>
          <w:rFonts w:ascii="仿宋" w:eastAsia="仿宋" w:hAnsi="仿宋" w:hint="eastAsia"/>
          <w:sz w:val="32"/>
          <w:szCs w:val="32"/>
        </w:rPr>
        <w:t>6.4</w:t>
      </w:r>
      <w:r w:rsidRPr="00EE6634">
        <w:rPr>
          <w:rFonts w:ascii="仿宋" w:eastAsia="仿宋" w:hAnsi="仿宋" w:hint="eastAsia"/>
          <w:sz w:val="32"/>
          <w:szCs w:val="32"/>
        </w:rPr>
        <w:t>%。全市三次产业比例为</w:t>
      </w:r>
      <w:r w:rsidR="00D01C54" w:rsidRPr="00EE6634">
        <w:rPr>
          <w:rFonts w:ascii="仿宋" w:eastAsia="仿宋" w:hAnsi="仿宋" w:hint="eastAsia"/>
          <w:sz w:val="32"/>
          <w:szCs w:val="32"/>
        </w:rPr>
        <w:t>19.9</w:t>
      </w:r>
      <w:r w:rsidRPr="00EE6634">
        <w:rPr>
          <w:rFonts w:ascii="仿宋" w:eastAsia="仿宋" w:hAnsi="仿宋" w:hint="eastAsia"/>
          <w:sz w:val="32"/>
          <w:szCs w:val="32"/>
        </w:rPr>
        <w:t>：1</w:t>
      </w:r>
      <w:r w:rsidR="00D01C54" w:rsidRPr="00EE6634">
        <w:rPr>
          <w:rFonts w:ascii="仿宋" w:eastAsia="仿宋" w:hAnsi="仿宋" w:hint="eastAsia"/>
          <w:sz w:val="32"/>
          <w:szCs w:val="32"/>
        </w:rPr>
        <w:t>8.4</w:t>
      </w:r>
      <w:r w:rsidRPr="00EE6634">
        <w:rPr>
          <w:rFonts w:ascii="仿宋" w:eastAsia="仿宋" w:hAnsi="仿宋" w:hint="eastAsia"/>
          <w:sz w:val="32"/>
          <w:szCs w:val="32"/>
        </w:rPr>
        <w:t>：6</w:t>
      </w:r>
      <w:r w:rsidR="00D01C54" w:rsidRPr="00EE6634">
        <w:rPr>
          <w:rFonts w:ascii="仿宋" w:eastAsia="仿宋" w:hAnsi="仿宋" w:hint="eastAsia"/>
          <w:sz w:val="32"/>
          <w:szCs w:val="32"/>
        </w:rPr>
        <w:t>1</w:t>
      </w:r>
      <w:r w:rsidRPr="00EE6634">
        <w:rPr>
          <w:rFonts w:ascii="仿宋" w:eastAsia="仿宋" w:hAnsi="仿宋" w:hint="eastAsia"/>
          <w:sz w:val="32"/>
          <w:szCs w:val="32"/>
        </w:rPr>
        <w:t>.</w:t>
      </w:r>
      <w:r w:rsidR="00D01C54" w:rsidRPr="00EE6634">
        <w:rPr>
          <w:rFonts w:ascii="仿宋" w:eastAsia="仿宋" w:hAnsi="仿宋" w:hint="eastAsia"/>
          <w:sz w:val="32"/>
          <w:szCs w:val="32"/>
        </w:rPr>
        <w:t>7</w:t>
      </w:r>
      <w:r w:rsidRPr="00EE6634">
        <w:rPr>
          <w:rFonts w:ascii="仿宋" w:eastAsia="仿宋" w:hAnsi="仿宋" w:hint="eastAsia"/>
          <w:sz w:val="32"/>
          <w:szCs w:val="32"/>
        </w:rPr>
        <w:t>。按常住人口计算，全年人均地区生产总值</w:t>
      </w:r>
      <w:r w:rsidR="00D01C54" w:rsidRPr="00EE6634">
        <w:rPr>
          <w:rFonts w:ascii="仿宋" w:eastAsia="仿宋" w:hAnsi="仿宋" w:hint="eastAsia"/>
          <w:sz w:val="32"/>
          <w:szCs w:val="32"/>
        </w:rPr>
        <w:t>25062</w:t>
      </w:r>
      <w:r w:rsidRPr="00EE6634">
        <w:rPr>
          <w:rFonts w:ascii="仿宋" w:eastAsia="仿宋" w:hAnsi="仿宋" w:hint="eastAsia"/>
          <w:sz w:val="32"/>
          <w:szCs w:val="32"/>
        </w:rPr>
        <w:t>元，比上年增长</w:t>
      </w:r>
      <w:r w:rsidR="008B0B29" w:rsidRPr="00EE6634">
        <w:rPr>
          <w:rFonts w:ascii="仿宋" w:eastAsia="仿宋" w:hAnsi="仿宋" w:hint="eastAsia"/>
          <w:sz w:val="32"/>
          <w:szCs w:val="32"/>
        </w:rPr>
        <w:t>10.0</w:t>
      </w:r>
      <w:r w:rsidRPr="00EE6634">
        <w:rPr>
          <w:rFonts w:ascii="仿宋" w:eastAsia="仿宋" w:hAnsi="仿宋" w:hint="eastAsia"/>
          <w:sz w:val="32"/>
          <w:szCs w:val="32"/>
        </w:rPr>
        <w:t>%。</w:t>
      </w:r>
    </w:p>
    <w:p w:rsidR="007569A1" w:rsidRPr="00EE6634" w:rsidRDefault="008B0B29">
      <w:r w:rsidRPr="00EE6634"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>
            <wp:extent cx="5400040" cy="2738770"/>
            <wp:effectExtent l="19050" t="0" r="10160" b="443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69A1" w:rsidRPr="00EE6634" w:rsidRDefault="007569A1"/>
    <w:p w:rsidR="007569A1" w:rsidRPr="00EE6634" w:rsidRDefault="001B1A4A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E6634">
        <w:rPr>
          <w:rFonts w:ascii="仿宋" w:eastAsia="仿宋" w:hAnsi="仿宋" w:hint="eastAsia"/>
          <w:sz w:val="32"/>
          <w:szCs w:val="32"/>
        </w:rPr>
        <w:t>全年城镇新增就业人数</w:t>
      </w:r>
      <w:r w:rsidR="003172BF" w:rsidRPr="00EE6634">
        <w:rPr>
          <w:rFonts w:ascii="仿宋" w:eastAsia="仿宋" w:hAnsi="仿宋" w:hint="eastAsia"/>
          <w:sz w:val="32"/>
          <w:szCs w:val="32"/>
        </w:rPr>
        <w:t>500</w:t>
      </w:r>
      <w:r w:rsidRPr="00EE6634">
        <w:rPr>
          <w:rFonts w:ascii="仿宋" w:eastAsia="仿宋" w:hAnsi="仿宋" w:hint="eastAsia"/>
          <w:sz w:val="32"/>
          <w:szCs w:val="32"/>
        </w:rPr>
        <w:t>人，比上年</w:t>
      </w:r>
      <w:r w:rsidR="003172BF" w:rsidRPr="00EE6634">
        <w:rPr>
          <w:rFonts w:ascii="仿宋" w:eastAsia="仿宋" w:hAnsi="仿宋" w:hint="eastAsia"/>
          <w:sz w:val="32"/>
          <w:szCs w:val="32"/>
        </w:rPr>
        <w:t>减少</w:t>
      </w:r>
      <w:r w:rsidRPr="00EE6634">
        <w:rPr>
          <w:rFonts w:ascii="仿宋" w:eastAsia="仿宋" w:hAnsi="仿宋" w:hint="eastAsia"/>
          <w:sz w:val="32"/>
          <w:szCs w:val="32"/>
        </w:rPr>
        <w:t>3人，城镇失业人员再就业</w:t>
      </w:r>
      <w:r w:rsidR="003172BF" w:rsidRPr="00EE6634">
        <w:rPr>
          <w:rFonts w:ascii="仿宋" w:eastAsia="仿宋" w:hAnsi="仿宋" w:hint="eastAsia"/>
          <w:sz w:val="32"/>
          <w:szCs w:val="32"/>
        </w:rPr>
        <w:t>50</w:t>
      </w:r>
      <w:r w:rsidRPr="00EE6634">
        <w:rPr>
          <w:rFonts w:ascii="仿宋" w:eastAsia="仿宋" w:hAnsi="仿宋" w:hint="eastAsia"/>
          <w:sz w:val="32"/>
          <w:szCs w:val="32"/>
        </w:rPr>
        <w:t>人。年末城镇登记失业率控制在2.</w:t>
      </w:r>
      <w:r w:rsidR="003172BF" w:rsidRPr="00EE6634">
        <w:rPr>
          <w:rFonts w:ascii="仿宋" w:eastAsia="仿宋" w:hAnsi="仿宋" w:hint="eastAsia"/>
          <w:sz w:val="32"/>
          <w:szCs w:val="32"/>
        </w:rPr>
        <w:t>3</w:t>
      </w:r>
      <w:r w:rsidRPr="00EE6634">
        <w:rPr>
          <w:rFonts w:ascii="仿宋" w:eastAsia="仿宋" w:hAnsi="仿宋" w:hint="eastAsia"/>
          <w:sz w:val="32"/>
          <w:szCs w:val="32"/>
        </w:rPr>
        <w:t>%以内。全年发放小额贷款1</w:t>
      </w:r>
      <w:r w:rsidR="003172BF" w:rsidRPr="00EE6634">
        <w:rPr>
          <w:rFonts w:ascii="仿宋" w:eastAsia="仿宋" w:hAnsi="仿宋" w:hint="eastAsia"/>
          <w:sz w:val="32"/>
          <w:szCs w:val="32"/>
        </w:rPr>
        <w:t>090</w:t>
      </w:r>
      <w:r w:rsidRPr="00EE6634">
        <w:rPr>
          <w:rFonts w:ascii="仿宋" w:eastAsia="仿宋" w:hAnsi="仿宋" w:hint="eastAsia"/>
          <w:sz w:val="32"/>
          <w:szCs w:val="32"/>
        </w:rPr>
        <w:t>万元。</w:t>
      </w:r>
    </w:p>
    <w:p w:rsidR="007569A1" w:rsidRPr="00EE6634" w:rsidRDefault="001B1A4A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E6634">
        <w:rPr>
          <w:rFonts w:ascii="仿宋" w:eastAsia="仿宋" w:hAnsi="仿宋" w:hint="eastAsia"/>
          <w:sz w:val="32"/>
          <w:szCs w:val="32"/>
        </w:rPr>
        <w:t>全年完成一般公共</w:t>
      </w:r>
      <w:hyperlink r:id="rId9" w:tgtFrame="_blank" w:history="1">
        <w:r w:rsidRPr="00EE6634">
          <w:rPr>
            <w:rFonts w:ascii="仿宋" w:eastAsia="仿宋" w:hAnsi="仿宋" w:hint="eastAsia"/>
            <w:sz w:val="32"/>
            <w:szCs w:val="32"/>
          </w:rPr>
          <w:t>预算</w:t>
        </w:r>
      </w:hyperlink>
      <w:r w:rsidRPr="00EE6634">
        <w:rPr>
          <w:rFonts w:ascii="仿宋" w:eastAsia="仿宋" w:hAnsi="仿宋" w:hint="eastAsia"/>
          <w:sz w:val="32"/>
          <w:szCs w:val="32"/>
        </w:rPr>
        <w:t>收入</w:t>
      </w:r>
      <w:r w:rsidR="00150ACF" w:rsidRPr="00EE6634">
        <w:rPr>
          <w:rFonts w:ascii="仿宋" w:eastAsia="仿宋" w:hAnsi="仿宋" w:hint="eastAsia"/>
          <w:sz w:val="32"/>
          <w:szCs w:val="32"/>
        </w:rPr>
        <w:t>12216</w:t>
      </w:r>
      <w:r w:rsidRPr="00EE6634">
        <w:rPr>
          <w:rFonts w:ascii="仿宋" w:eastAsia="仿宋" w:hAnsi="仿宋" w:hint="eastAsia"/>
          <w:sz w:val="32"/>
          <w:szCs w:val="32"/>
        </w:rPr>
        <w:t>万元，比上年增长</w:t>
      </w:r>
      <w:r w:rsidR="00150ACF" w:rsidRPr="00EE6634">
        <w:rPr>
          <w:rFonts w:ascii="仿宋" w:eastAsia="仿宋" w:hAnsi="仿宋" w:hint="eastAsia"/>
          <w:sz w:val="32"/>
          <w:szCs w:val="32"/>
        </w:rPr>
        <w:t>5.7</w:t>
      </w:r>
      <w:r w:rsidRPr="00EE6634">
        <w:rPr>
          <w:rFonts w:ascii="仿宋" w:eastAsia="仿宋" w:hAnsi="仿宋" w:hint="eastAsia"/>
          <w:sz w:val="32"/>
          <w:szCs w:val="32"/>
        </w:rPr>
        <w:t>%。一般公共预算支出</w:t>
      </w:r>
      <w:r w:rsidR="00150ACF" w:rsidRPr="00EE6634">
        <w:rPr>
          <w:rFonts w:ascii="仿宋" w:eastAsia="仿宋" w:hAnsi="仿宋" w:hint="eastAsia"/>
          <w:sz w:val="32"/>
          <w:szCs w:val="32"/>
        </w:rPr>
        <w:t>150764</w:t>
      </w:r>
      <w:r w:rsidRPr="00EE6634">
        <w:rPr>
          <w:rFonts w:ascii="仿宋" w:eastAsia="仿宋" w:hAnsi="仿宋" w:hint="eastAsia"/>
          <w:sz w:val="32"/>
          <w:szCs w:val="32"/>
        </w:rPr>
        <w:t>万元，比上年增长</w:t>
      </w:r>
      <w:r w:rsidR="00150ACF" w:rsidRPr="00EE6634">
        <w:rPr>
          <w:rFonts w:ascii="仿宋" w:eastAsia="仿宋" w:hAnsi="仿宋" w:hint="eastAsia"/>
          <w:sz w:val="32"/>
          <w:szCs w:val="32"/>
        </w:rPr>
        <w:t>27.8</w:t>
      </w:r>
      <w:r w:rsidRPr="00EE6634">
        <w:rPr>
          <w:rFonts w:ascii="仿宋" w:eastAsia="仿宋" w:hAnsi="仿宋" w:hint="eastAsia"/>
          <w:sz w:val="32"/>
          <w:szCs w:val="32"/>
        </w:rPr>
        <w:t>%。其中:教育支出</w:t>
      </w:r>
      <w:r w:rsidR="00150ACF" w:rsidRPr="00EE6634">
        <w:rPr>
          <w:rFonts w:ascii="仿宋" w:eastAsia="仿宋" w:hAnsi="仿宋" w:hint="eastAsia"/>
          <w:sz w:val="32"/>
          <w:szCs w:val="32"/>
        </w:rPr>
        <w:t>5306</w:t>
      </w:r>
      <w:r w:rsidRPr="00EE6634">
        <w:rPr>
          <w:rFonts w:ascii="仿宋" w:eastAsia="仿宋" w:hAnsi="仿宋" w:hint="eastAsia"/>
          <w:sz w:val="32"/>
          <w:szCs w:val="32"/>
        </w:rPr>
        <w:t>万元，文化体育与传媒支出</w:t>
      </w:r>
      <w:r w:rsidR="00150ACF" w:rsidRPr="00EE6634">
        <w:rPr>
          <w:rFonts w:ascii="仿宋" w:eastAsia="仿宋" w:hAnsi="仿宋" w:hint="eastAsia"/>
          <w:sz w:val="32"/>
          <w:szCs w:val="32"/>
        </w:rPr>
        <w:t>14200</w:t>
      </w:r>
      <w:r w:rsidRPr="00EE6634">
        <w:rPr>
          <w:rFonts w:ascii="仿宋" w:eastAsia="仿宋" w:hAnsi="仿宋" w:hint="eastAsia"/>
          <w:sz w:val="32"/>
          <w:szCs w:val="32"/>
        </w:rPr>
        <w:t>万元，社会保障和就业支出</w:t>
      </w:r>
      <w:r w:rsidR="00150ACF" w:rsidRPr="00EE6634">
        <w:rPr>
          <w:rFonts w:ascii="仿宋" w:eastAsia="仿宋" w:hAnsi="仿宋" w:hint="eastAsia"/>
          <w:sz w:val="32"/>
          <w:szCs w:val="32"/>
        </w:rPr>
        <w:t>16558</w:t>
      </w:r>
      <w:r w:rsidRPr="00EE6634">
        <w:rPr>
          <w:rFonts w:ascii="仿宋" w:eastAsia="仿宋" w:hAnsi="仿宋" w:hint="eastAsia"/>
          <w:sz w:val="32"/>
          <w:szCs w:val="32"/>
        </w:rPr>
        <w:t>万元，医疗卫生支出</w:t>
      </w:r>
      <w:r w:rsidR="00150ACF" w:rsidRPr="00EE6634">
        <w:rPr>
          <w:rFonts w:ascii="仿宋" w:eastAsia="仿宋" w:hAnsi="仿宋" w:hint="eastAsia"/>
          <w:sz w:val="32"/>
          <w:szCs w:val="32"/>
        </w:rPr>
        <w:t>4703</w:t>
      </w:r>
      <w:r w:rsidRPr="00EE6634">
        <w:rPr>
          <w:rFonts w:ascii="仿宋" w:eastAsia="仿宋" w:hAnsi="仿宋" w:hint="eastAsia"/>
          <w:sz w:val="32"/>
          <w:szCs w:val="32"/>
        </w:rPr>
        <w:t>万元，节能环保支出</w:t>
      </w:r>
      <w:r w:rsidR="00150ACF" w:rsidRPr="00EE6634">
        <w:rPr>
          <w:rFonts w:ascii="仿宋" w:eastAsia="仿宋" w:hAnsi="仿宋" w:hint="eastAsia"/>
          <w:sz w:val="32"/>
          <w:szCs w:val="32"/>
        </w:rPr>
        <w:t>11204</w:t>
      </w:r>
      <w:r w:rsidRPr="00EE6634">
        <w:rPr>
          <w:rFonts w:ascii="仿宋" w:eastAsia="仿宋" w:hAnsi="仿宋" w:hint="eastAsia"/>
          <w:sz w:val="32"/>
          <w:szCs w:val="32"/>
        </w:rPr>
        <w:t>万元,农林水事务支出</w:t>
      </w:r>
      <w:r w:rsidR="00150ACF" w:rsidRPr="00EE6634">
        <w:rPr>
          <w:rFonts w:ascii="仿宋" w:eastAsia="仿宋" w:hAnsi="仿宋" w:hint="eastAsia"/>
          <w:sz w:val="32"/>
          <w:szCs w:val="32"/>
        </w:rPr>
        <w:t>19646</w:t>
      </w:r>
      <w:r w:rsidRPr="00EE6634">
        <w:rPr>
          <w:rFonts w:ascii="仿宋" w:eastAsia="仿宋" w:hAnsi="仿宋" w:hint="eastAsia"/>
          <w:sz w:val="32"/>
          <w:szCs w:val="32"/>
        </w:rPr>
        <w:t>万元,交通运输支出</w:t>
      </w:r>
      <w:r w:rsidR="00150ACF" w:rsidRPr="00EE6634">
        <w:rPr>
          <w:rFonts w:ascii="仿宋" w:eastAsia="仿宋" w:hAnsi="仿宋" w:hint="eastAsia"/>
          <w:sz w:val="32"/>
          <w:szCs w:val="32"/>
        </w:rPr>
        <w:t>19268</w:t>
      </w:r>
      <w:r w:rsidRPr="00EE6634">
        <w:rPr>
          <w:rFonts w:ascii="仿宋" w:eastAsia="仿宋" w:hAnsi="仿宋" w:hint="eastAsia"/>
          <w:sz w:val="32"/>
          <w:szCs w:val="32"/>
        </w:rPr>
        <w:t>万元，住房保障支出</w:t>
      </w:r>
      <w:r w:rsidR="00150ACF" w:rsidRPr="00EE6634">
        <w:rPr>
          <w:rFonts w:ascii="仿宋" w:eastAsia="仿宋" w:hAnsi="仿宋" w:hint="eastAsia"/>
          <w:sz w:val="32"/>
          <w:szCs w:val="32"/>
        </w:rPr>
        <w:t>12547</w:t>
      </w:r>
      <w:r w:rsidRPr="00EE6634">
        <w:rPr>
          <w:rFonts w:ascii="仿宋" w:eastAsia="仿宋" w:hAnsi="仿宋" w:hint="eastAsia"/>
          <w:sz w:val="32"/>
          <w:szCs w:val="32"/>
        </w:rPr>
        <w:t>万元，这八项支出占一般公共预算支出的</w:t>
      </w:r>
      <w:r w:rsidR="00150ACF" w:rsidRPr="00EE6634">
        <w:rPr>
          <w:rFonts w:ascii="仿宋" w:eastAsia="仿宋" w:hAnsi="仿宋" w:hint="eastAsia"/>
          <w:sz w:val="32"/>
          <w:szCs w:val="32"/>
        </w:rPr>
        <w:t>68.6</w:t>
      </w:r>
      <w:r w:rsidRPr="00EE6634">
        <w:rPr>
          <w:rFonts w:ascii="仿宋" w:eastAsia="仿宋" w:hAnsi="仿宋" w:hint="eastAsia"/>
          <w:sz w:val="32"/>
          <w:szCs w:val="32"/>
        </w:rPr>
        <w:t>%。</w:t>
      </w:r>
    </w:p>
    <w:p w:rsidR="007569A1" w:rsidRPr="00EE6634" w:rsidRDefault="001B1A4A">
      <w:pPr>
        <w:spacing w:line="360" w:lineRule="auto"/>
        <w:ind w:firstLineChars="200" w:firstLine="643"/>
        <w:jc w:val="both"/>
        <w:rPr>
          <w:rFonts w:ascii="仿宋" w:eastAsia="仿宋" w:hAnsi="仿宋"/>
          <w:b/>
          <w:sz w:val="32"/>
          <w:szCs w:val="32"/>
        </w:rPr>
      </w:pPr>
      <w:r w:rsidRPr="00EE6634">
        <w:rPr>
          <w:rFonts w:ascii="仿宋" w:eastAsia="仿宋" w:hAnsi="仿宋" w:hint="eastAsia"/>
          <w:b/>
          <w:sz w:val="32"/>
          <w:szCs w:val="32"/>
        </w:rPr>
        <w:t>二、农业</w:t>
      </w:r>
    </w:p>
    <w:p w:rsidR="00E87447" w:rsidRPr="00EE6634" w:rsidRDefault="00E87447" w:rsidP="00E87447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E6634">
        <w:rPr>
          <w:rFonts w:ascii="仿宋" w:eastAsia="仿宋" w:hAnsi="仿宋" w:hint="eastAsia"/>
          <w:sz w:val="32"/>
          <w:szCs w:val="32"/>
        </w:rPr>
        <w:t>初步统计，全年粮食作物播种面积16291公顷，比上年同期减少427公顷，下降2.55%。在粮食作物中：小麦播种</w:t>
      </w:r>
      <w:r w:rsidRPr="00EE6634">
        <w:rPr>
          <w:rFonts w:ascii="仿宋" w:eastAsia="仿宋" w:hAnsi="仿宋" w:hint="eastAsia"/>
          <w:sz w:val="32"/>
          <w:szCs w:val="32"/>
        </w:rPr>
        <w:lastRenderedPageBreak/>
        <w:t>面积8446公顷，比上年同期减少3020公顷，下降26.34%；大麦播种面积31公顷，比上年同期减少455公顷，下降93.62%；马铃薯播种面积492公顷，比上年同期减少678公顷，下降57.95%。全年粮食总产量44967吨，比上年同期减少15033吨，下降25.06%。其中：小麦总产量28242吨，比上年同期减少18117吨，下降39.08%；大麦总产量88吨，比上年同期减少1980吨，下降95.74%；马铃薯总产量(折粮)2946吨，比上年同期减少509吨，下降14.73%。</w:t>
      </w:r>
    </w:p>
    <w:p w:rsidR="007569A1" w:rsidRPr="00EE6634" w:rsidRDefault="00D434B6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E6634">
        <w:rPr>
          <w:rFonts w:ascii="仿宋" w:eastAsia="仿宋" w:hAnsi="仿宋" w:hint="eastAsia"/>
          <w:sz w:val="32"/>
          <w:szCs w:val="32"/>
        </w:rPr>
        <w:t>全市牧业年度牲畜总头数达164533头（只），比上年下降32.0%。</w:t>
      </w:r>
      <w:r w:rsidR="001B1A4A" w:rsidRPr="00EE6634">
        <w:rPr>
          <w:rFonts w:ascii="仿宋" w:eastAsia="仿宋" w:hAnsi="仿宋" w:hint="eastAsia"/>
          <w:sz w:val="32"/>
          <w:szCs w:val="32"/>
        </w:rPr>
        <w:t>年末牲畜存栏总头数</w:t>
      </w:r>
      <w:r w:rsidR="00683A10" w:rsidRPr="00EE6634">
        <w:rPr>
          <w:rFonts w:ascii="仿宋" w:eastAsia="仿宋" w:hAnsi="仿宋" w:hint="eastAsia"/>
          <w:sz w:val="32"/>
          <w:szCs w:val="32"/>
        </w:rPr>
        <w:t>166215</w:t>
      </w:r>
      <w:r w:rsidR="001B1A4A" w:rsidRPr="00EE6634">
        <w:rPr>
          <w:rFonts w:ascii="仿宋" w:eastAsia="仿宋" w:hAnsi="仿宋" w:hint="eastAsia"/>
          <w:sz w:val="32"/>
          <w:szCs w:val="32"/>
        </w:rPr>
        <w:t>头（只）,比上年</w:t>
      </w:r>
      <w:r w:rsidR="00F362A2" w:rsidRPr="00EE6634">
        <w:rPr>
          <w:rFonts w:ascii="仿宋" w:eastAsia="仿宋" w:hAnsi="仿宋" w:hint="eastAsia"/>
          <w:sz w:val="32"/>
          <w:szCs w:val="32"/>
        </w:rPr>
        <w:t>增长5.1</w:t>
      </w:r>
      <w:r w:rsidR="001B1A4A" w:rsidRPr="00EE6634">
        <w:rPr>
          <w:rFonts w:ascii="仿宋" w:eastAsia="仿宋" w:hAnsi="仿宋" w:hint="eastAsia"/>
          <w:sz w:val="32"/>
          <w:szCs w:val="32"/>
        </w:rPr>
        <w:t>%，其中：大牲畜存栏</w:t>
      </w:r>
      <w:r w:rsidR="00683A10" w:rsidRPr="00EE6634">
        <w:rPr>
          <w:rFonts w:ascii="仿宋" w:eastAsia="仿宋" w:hAnsi="仿宋" w:hint="eastAsia"/>
          <w:sz w:val="32"/>
          <w:szCs w:val="32"/>
        </w:rPr>
        <w:t>5491</w:t>
      </w:r>
      <w:r w:rsidR="001B1A4A" w:rsidRPr="00EE6634">
        <w:rPr>
          <w:rFonts w:ascii="仿宋" w:eastAsia="仿宋" w:hAnsi="仿宋" w:hint="eastAsia"/>
          <w:sz w:val="32"/>
          <w:szCs w:val="32"/>
        </w:rPr>
        <w:t>头（只），</w:t>
      </w:r>
      <w:r w:rsidR="00F362A2" w:rsidRPr="00EE6634">
        <w:rPr>
          <w:rFonts w:ascii="仿宋" w:eastAsia="仿宋" w:hAnsi="仿宋" w:hint="eastAsia"/>
          <w:sz w:val="32"/>
          <w:szCs w:val="32"/>
        </w:rPr>
        <w:t>比上年</w:t>
      </w:r>
      <w:r w:rsidR="00683A10" w:rsidRPr="00EE6634">
        <w:rPr>
          <w:rFonts w:ascii="仿宋" w:eastAsia="仿宋" w:hAnsi="仿宋" w:hint="eastAsia"/>
          <w:sz w:val="32"/>
          <w:szCs w:val="32"/>
        </w:rPr>
        <w:t>下降</w:t>
      </w:r>
      <w:r w:rsidR="00363E40" w:rsidRPr="00EE6634">
        <w:rPr>
          <w:rFonts w:ascii="仿宋" w:eastAsia="仿宋" w:hAnsi="仿宋" w:hint="eastAsia"/>
          <w:sz w:val="32"/>
          <w:szCs w:val="32"/>
        </w:rPr>
        <w:t>7.6</w:t>
      </w:r>
      <w:r w:rsidR="001B1A4A" w:rsidRPr="00EE6634">
        <w:rPr>
          <w:rFonts w:ascii="仿宋" w:eastAsia="仿宋" w:hAnsi="仿宋" w:hint="eastAsia"/>
          <w:sz w:val="32"/>
          <w:szCs w:val="32"/>
        </w:rPr>
        <w:t>%。羊存栏</w:t>
      </w:r>
      <w:r w:rsidR="00683A10" w:rsidRPr="00EE6634">
        <w:rPr>
          <w:rFonts w:ascii="仿宋" w:eastAsia="仿宋" w:hAnsi="仿宋" w:hint="eastAsia"/>
          <w:sz w:val="32"/>
          <w:szCs w:val="32"/>
        </w:rPr>
        <w:t>157116</w:t>
      </w:r>
      <w:r w:rsidR="001B1A4A" w:rsidRPr="00EE6634">
        <w:rPr>
          <w:rFonts w:ascii="仿宋" w:eastAsia="仿宋" w:hAnsi="仿宋" w:hint="eastAsia"/>
          <w:sz w:val="32"/>
          <w:szCs w:val="32"/>
        </w:rPr>
        <w:t>头（只），</w:t>
      </w:r>
      <w:r w:rsidR="00683A10" w:rsidRPr="00EE6634">
        <w:rPr>
          <w:rFonts w:ascii="仿宋" w:eastAsia="仿宋" w:hAnsi="仿宋" w:hint="eastAsia"/>
          <w:sz w:val="32"/>
          <w:szCs w:val="32"/>
        </w:rPr>
        <w:t>增长</w:t>
      </w:r>
      <w:r w:rsidR="00363E40" w:rsidRPr="00EE6634">
        <w:rPr>
          <w:rFonts w:ascii="仿宋" w:eastAsia="仿宋" w:hAnsi="仿宋" w:hint="eastAsia"/>
          <w:sz w:val="32"/>
          <w:szCs w:val="32"/>
        </w:rPr>
        <w:t>5.0</w:t>
      </w:r>
      <w:r w:rsidR="001B1A4A" w:rsidRPr="00EE6634">
        <w:rPr>
          <w:rFonts w:ascii="仿宋" w:eastAsia="仿宋" w:hAnsi="仿宋" w:hint="eastAsia"/>
          <w:sz w:val="32"/>
          <w:szCs w:val="32"/>
        </w:rPr>
        <w:t>%。能繁殖母畜在畜群中的比重为</w:t>
      </w:r>
      <w:r w:rsidR="008E74E1" w:rsidRPr="00EE6634">
        <w:rPr>
          <w:rFonts w:ascii="仿宋" w:eastAsia="仿宋" w:hAnsi="仿宋" w:hint="eastAsia"/>
          <w:sz w:val="32"/>
          <w:szCs w:val="32"/>
        </w:rPr>
        <w:t>6</w:t>
      </w:r>
      <w:r w:rsidR="00F362A2" w:rsidRPr="00EE6634">
        <w:rPr>
          <w:rFonts w:ascii="仿宋" w:eastAsia="仿宋" w:hAnsi="仿宋" w:hint="eastAsia"/>
          <w:sz w:val="32"/>
          <w:szCs w:val="32"/>
        </w:rPr>
        <w:t>4.5</w:t>
      </w:r>
      <w:r w:rsidR="001B1A4A" w:rsidRPr="00EE6634">
        <w:rPr>
          <w:rFonts w:ascii="仿宋" w:eastAsia="仿宋" w:hAnsi="仿宋" w:hint="eastAsia"/>
          <w:sz w:val="32"/>
          <w:szCs w:val="32"/>
        </w:rPr>
        <w:t>%，良种及改良种牲畜占畜群的比例为</w:t>
      </w:r>
      <w:r w:rsidR="00F362A2" w:rsidRPr="00EE6634">
        <w:rPr>
          <w:rFonts w:ascii="仿宋" w:eastAsia="仿宋" w:hAnsi="仿宋" w:hint="eastAsia"/>
          <w:sz w:val="32"/>
          <w:szCs w:val="32"/>
        </w:rPr>
        <w:t>83.5</w:t>
      </w:r>
      <w:r w:rsidR="001B1A4A" w:rsidRPr="00EE6634">
        <w:rPr>
          <w:rFonts w:ascii="仿宋" w:eastAsia="仿宋" w:hAnsi="仿宋" w:hint="eastAsia"/>
          <w:sz w:val="32"/>
          <w:szCs w:val="32"/>
        </w:rPr>
        <w:t>%。</w:t>
      </w:r>
    </w:p>
    <w:p w:rsidR="007569A1" w:rsidRPr="00EE6634" w:rsidRDefault="001B1A4A" w:rsidP="00D01C54">
      <w:pPr>
        <w:spacing w:line="360" w:lineRule="auto"/>
        <w:ind w:firstLineChars="209" w:firstLine="669"/>
        <w:jc w:val="both"/>
        <w:rPr>
          <w:rFonts w:ascii="黑体" w:eastAsia="黑体" w:hAnsi="黑体"/>
          <w:b/>
          <w:sz w:val="24"/>
          <w:szCs w:val="24"/>
        </w:rPr>
      </w:pPr>
      <w:r w:rsidRPr="00EE6634">
        <w:rPr>
          <w:rFonts w:ascii="仿宋" w:eastAsia="仿宋" w:hAnsi="仿宋" w:hint="eastAsia"/>
          <w:sz w:val="32"/>
          <w:szCs w:val="32"/>
        </w:rPr>
        <w:t>全年肉类总产量</w:t>
      </w:r>
      <w:r w:rsidR="00683A10" w:rsidRPr="00EE6634">
        <w:rPr>
          <w:rFonts w:ascii="仿宋" w:eastAsia="仿宋" w:hAnsi="仿宋" w:hint="eastAsia"/>
          <w:sz w:val="32"/>
          <w:szCs w:val="32"/>
        </w:rPr>
        <w:t>2141</w:t>
      </w:r>
      <w:r w:rsidRPr="00EE6634">
        <w:rPr>
          <w:rFonts w:ascii="仿宋" w:eastAsia="仿宋" w:hAnsi="仿宋" w:hint="eastAsia"/>
          <w:sz w:val="32"/>
          <w:szCs w:val="32"/>
        </w:rPr>
        <w:t>吨</w:t>
      </w:r>
      <w:r w:rsidR="00683A10" w:rsidRPr="00EE6634">
        <w:rPr>
          <w:rFonts w:ascii="仿宋" w:eastAsia="仿宋" w:hAnsi="仿宋" w:hint="eastAsia"/>
          <w:sz w:val="32"/>
          <w:szCs w:val="32"/>
        </w:rPr>
        <w:t>，</w:t>
      </w:r>
      <w:r w:rsidRPr="00EE6634">
        <w:rPr>
          <w:rFonts w:ascii="仿宋" w:eastAsia="仿宋" w:hAnsi="仿宋" w:hint="eastAsia"/>
          <w:sz w:val="32"/>
          <w:szCs w:val="32"/>
        </w:rPr>
        <w:t>牛奶产量</w:t>
      </w:r>
      <w:r w:rsidR="00683A10" w:rsidRPr="00EE6634">
        <w:rPr>
          <w:rFonts w:ascii="仿宋" w:eastAsia="仿宋" w:hAnsi="仿宋" w:hint="eastAsia"/>
          <w:sz w:val="32"/>
          <w:szCs w:val="32"/>
        </w:rPr>
        <w:t>668</w:t>
      </w:r>
      <w:r w:rsidRPr="00EE6634">
        <w:rPr>
          <w:rFonts w:ascii="仿宋" w:eastAsia="仿宋" w:hAnsi="仿宋" w:hint="eastAsia"/>
          <w:sz w:val="32"/>
          <w:szCs w:val="32"/>
        </w:rPr>
        <w:t>吨</w:t>
      </w:r>
      <w:r w:rsidR="00683A10" w:rsidRPr="00EE6634">
        <w:rPr>
          <w:rFonts w:ascii="仿宋" w:eastAsia="仿宋" w:hAnsi="仿宋" w:hint="eastAsia"/>
          <w:sz w:val="32"/>
          <w:szCs w:val="32"/>
        </w:rPr>
        <w:t>，</w:t>
      </w:r>
      <w:r w:rsidRPr="00EE6634">
        <w:rPr>
          <w:rFonts w:ascii="仿宋" w:eastAsia="仿宋" w:hAnsi="仿宋" w:hint="eastAsia"/>
          <w:sz w:val="32"/>
          <w:szCs w:val="32"/>
        </w:rPr>
        <w:t>禽蛋产量</w:t>
      </w:r>
      <w:r w:rsidR="00683A10" w:rsidRPr="00EE6634">
        <w:rPr>
          <w:rFonts w:ascii="仿宋" w:eastAsia="仿宋" w:hAnsi="仿宋" w:hint="eastAsia"/>
          <w:sz w:val="32"/>
          <w:szCs w:val="32"/>
        </w:rPr>
        <w:t>66</w:t>
      </w:r>
      <w:r w:rsidRPr="00EE6634">
        <w:rPr>
          <w:rFonts w:ascii="仿宋" w:eastAsia="仿宋" w:hAnsi="仿宋" w:hint="eastAsia"/>
          <w:sz w:val="32"/>
          <w:szCs w:val="32"/>
        </w:rPr>
        <w:t>吨。</w:t>
      </w:r>
    </w:p>
    <w:p w:rsidR="007569A1" w:rsidRPr="00EE6634" w:rsidRDefault="001B1A4A">
      <w:pPr>
        <w:spacing w:line="360" w:lineRule="auto"/>
        <w:jc w:val="center"/>
        <w:rPr>
          <w:rFonts w:ascii="黑体" w:eastAsia="黑体" w:hAnsi="黑体"/>
          <w:b/>
          <w:sz w:val="24"/>
          <w:szCs w:val="24"/>
        </w:rPr>
      </w:pPr>
      <w:r w:rsidRPr="00EE6634">
        <w:rPr>
          <w:rFonts w:ascii="黑体" w:eastAsia="黑体" w:hAnsi="黑体" w:hint="eastAsia"/>
          <w:b/>
          <w:sz w:val="24"/>
          <w:szCs w:val="24"/>
        </w:rPr>
        <w:t>表1        主要农畜产品产量和牲畜存栏数</w:t>
      </w:r>
    </w:p>
    <w:tbl>
      <w:tblPr>
        <w:tblW w:w="7019" w:type="dxa"/>
        <w:jc w:val="center"/>
        <w:tblInd w:w="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/>
      </w:tblPr>
      <w:tblGrid>
        <w:gridCol w:w="3460"/>
        <w:gridCol w:w="1390"/>
        <w:gridCol w:w="2169"/>
      </w:tblGrid>
      <w:tr w:rsidR="007569A1" w:rsidRPr="00EE6634" w:rsidTr="00C569C2">
        <w:trPr>
          <w:trHeight w:val="405"/>
          <w:jc w:val="center"/>
        </w:trPr>
        <w:tc>
          <w:tcPr>
            <w:tcW w:w="3460" w:type="dxa"/>
            <w:shd w:val="clear" w:color="000000" w:fill="FFFFFF" w:themeFill="background1"/>
            <w:vAlign w:val="center"/>
          </w:tcPr>
          <w:p w:rsidR="007569A1" w:rsidRPr="00EE6634" w:rsidRDefault="001B1A4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指 标 名 称</w:t>
            </w:r>
          </w:p>
        </w:tc>
        <w:tc>
          <w:tcPr>
            <w:tcW w:w="1390" w:type="dxa"/>
            <w:shd w:val="clear" w:color="000000" w:fill="FFFFFF" w:themeFill="background1"/>
            <w:vAlign w:val="center"/>
          </w:tcPr>
          <w:p w:rsidR="007569A1" w:rsidRPr="00EE6634" w:rsidRDefault="001B1A4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2017年</w:t>
            </w:r>
          </w:p>
        </w:tc>
        <w:tc>
          <w:tcPr>
            <w:tcW w:w="2169" w:type="dxa"/>
            <w:shd w:val="clear" w:color="000000" w:fill="FFFFFF" w:themeFill="background1"/>
            <w:vAlign w:val="center"/>
          </w:tcPr>
          <w:p w:rsidR="007569A1" w:rsidRPr="00EE6634" w:rsidRDefault="001B1A4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同比增长（%）</w:t>
            </w:r>
          </w:p>
        </w:tc>
      </w:tr>
      <w:tr w:rsidR="007569A1" w:rsidRPr="00EE6634" w:rsidTr="00C569C2">
        <w:trPr>
          <w:trHeight w:val="405"/>
          <w:jc w:val="center"/>
        </w:trPr>
        <w:tc>
          <w:tcPr>
            <w:tcW w:w="3460" w:type="dxa"/>
            <w:shd w:val="clear" w:color="000000" w:fill="FFFFFF" w:themeFill="background1"/>
            <w:vAlign w:val="center"/>
          </w:tcPr>
          <w:p w:rsidR="007569A1" w:rsidRPr="00EE6634" w:rsidRDefault="001B1A4A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粮食（吨）</w:t>
            </w:r>
          </w:p>
        </w:tc>
        <w:tc>
          <w:tcPr>
            <w:tcW w:w="1390" w:type="dxa"/>
            <w:shd w:val="clear" w:color="000000" w:fill="FFFFFF" w:themeFill="background1"/>
            <w:vAlign w:val="center"/>
          </w:tcPr>
          <w:p w:rsidR="007569A1" w:rsidRPr="00EE6634" w:rsidRDefault="008E74E1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44967</w:t>
            </w:r>
          </w:p>
        </w:tc>
        <w:tc>
          <w:tcPr>
            <w:tcW w:w="2169" w:type="dxa"/>
            <w:shd w:val="clear" w:color="000000" w:fill="FFFFFF" w:themeFill="background1"/>
            <w:vAlign w:val="center"/>
          </w:tcPr>
          <w:p w:rsidR="007569A1" w:rsidRPr="00EE6634" w:rsidRDefault="00E87447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-25.06</w:t>
            </w:r>
          </w:p>
        </w:tc>
      </w:tr>
      <w:tr w:rsidR="007569A1" w:rsidRPr="00EE6634" w:rsidTr="00C569C2">
        <w:trPr>
          <w:trHeight w:val="405"/>
          <w:jc w:val="center"/>
        </w:trPr>
        <w:tc>
          <w:tcPr>
            <w:tcW w:w="3460" w:type="dxa"/>
            <w:shd w:val="clear" w:color="000000" w:fill="FFFFFF" w:themeFill="background1"/>
            <w:vAlign w:val="center"/>
          </w:tcPr>
          <w:p w:rsidR="007569A1" w:rsidRPr="00EE6634" w:rsidRDefault="001B1A4A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 #小麦（吨）</w:t>
            </w:r>
          </w:p>
        </w:tc>
        <w:tc>
          <w:tcPr>
            <w:tcW w:w="1390" w:type="dxa"/>
            <w:shd w:val="clear" w:color="000000" w:fill="FFFFFF" w:themeFill="background1"/>
            <w:vAlign w:val="center"/>
          </w:tcPr>
          <w:p w:rsidR="007569A1" w:rsidRPr="00EE6634" w:rsidRDefault="008E74E1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28242</w:t>
            </w:r>
          </w:p>
        </w:tc>
        <w:tc>
          <w:tcPr>
            <w:tcW w:w="2169" w:type="dxa"/>
            <w:shd w:val="clear" w:color="000000" w:fill="FFFFFF" w:themeFill="background1"/>
            <w:vAlign w:val="center"/>
          </w:tcPr>
          <w:p w:rsidR="007569A1" w:rsidRPr="00EE6634" w:rsidRDefault="00E87447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-39.08</w:t>
            </w:r>
          </w:p>
        </w:tc>
      </w:tr>
      <w:tr w:rsidR="007569A1" w:rsidRPr="00EE6634" w:rsidTr="00C569C2">
        <w:trPr>
          <w:trHeight w:val="405"/>
          <w:jc w:val="center"/>
        </w:trPr>
        <w:tc>
          <w:tcPr>
            <w:tcW w:w="3460" w:type="dxa"/>
            <w:shd w:val="clear" w:color="000000" w:fill="FFFFFF" w:themeFill="background1"/>
            <w:vAlign w:val="center"/>
          </w:tcPr>
          <w:p w:rsidR="007569A1" w:rsidRPr="00EE6634" w:rsidRDefault="001B1A4A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  玉米（吨）</w:t>
            </w:r>
          </w:p>
        </w:tc>
        <w:tc>
          <w:tcPr>
            <w:tcW w:w="1390" w:type="dxa"/>
            <w:shd w:val="clear" w:color="000000" w:fill="FFFFFF" w:themeFill="background1"/>
            <w:vAlign w:val="center"/>
          </w:tcPr>
          <w:p w:rsidR="007569A1" w:rsidRPr="00EE6634" w:rsidRDefault="008E74E1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5298</w:t>
            </w:r>
          </w:p>
        </w:tc>
        <w:tc>
          <w:tcPr>
            <w:tcW w:w="2169" w:type="dxa"/>
            <w:shd w:val="clear" w:color="000000" w:fill="FFFFFF" w:themeFill="background1"/>
            <w:vAlign w:val="center"/>
          </w:tcPr>
          <w:p w:rsidR="007569A1" w:rsidRPr="00EE6634" w:rsidRDefault="00C569C2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-17.52</w:t>
            </w:r>
          </w:p>
        </w:tc>
      </w:tr>
      <w:tr w:rsidR="007569A1" w:rsidRPr="00EE6634" w:rsidTr="00C569C2">
        <w:trPr>
          <w:trHeight w:val="405"/>
          <w:jc w:val="center"/>
        </w:trPr>
        <w:tc>
          <w:tcPr>
            <w:tcW w:w="3460" w:type="dxa"/>
            <w:shd w:val="clear" w:color="000000" w:fill="FFFFFF" w:themeFill="background1"/>
            <w:vAlign w:val="center"/>
          </w:tcPr>
          <w:p w:rsidR="007569A1" w:rsidRPr="00EE6634" w:rsidRDefault="001B1A4A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  大豆（吨）</w:t>
            </w:r>
          </w:p>
        </w:tc>
        <w:tc>
          <w:tcPr>
            <w:tcW w:w="1390" w:type="dxa"/>
            <w:shd w:val="clear" w:color="000000" w:fill="FFFFFF" w:themeFill="background1"/>
            <w:vAlign w:val="center"/>
          </w:tcPr>
          <w:p w:rsidR="007569A1" w:rsidRPr="00EE6634" w:rsidRDefault="008E74E1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7653</w:t>
            </w:r>
          </w:p>
        </w:tc>
        <w:tc>
          <w:tcPr>
            <w:tcW w:w="2169" w:type="dxa"/>
            <w:shd w:val="clear" w:color="000000" w:fill="FFFFFF" w:themeFill="background1"/>
            <w:vAlign w:val="center"/>
          </w:tcPr>
          <w:p w:rsidR="007569A1" w:rsidRPr="00EE6634" w:rsidRDefault="00C569C2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1487.76</w:t>
            </w:r>
          </w:p>
        </w:tc>
      </w:tr>
      <w:tr w:rsidR="007569A1" w:rsidRPr="00EE6634" w:rsidTr="00C569C2">
        <w:trPr>
          <w:trHeight w:val="405"/>
          <w:jc w:val="center"/>
        </w:trPr>
        <w:tc>
          <w:tcPr>
            <w:tcW w:w="3460" w:type="dxa"/>
            <w:shd w:val="clear" w:color="000000" w:fill="FFFFFF" w:themeFill="background1"/>
            <w:vAlign w:val="center"/>
          </w:tcPr>
          <w:p w:rsidR="007569A1" w:rsidRPr="00EE6634" w:rsidRDefault="001B1A4A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  薯类（吨）</w:t>
            </w:r>
          </w:p>
        </w:tc>
        <w:tc>
          <w:tcPr>
            <w:tcW w:w="1390" w:type="dxa"/>
            <w:shd w:val="clear" w:color="000000" w:fill="FFFFFF" w:themeFill="background1"/>
            <w:vAlign w:val="center"/>
          </w:tcPr>
          <w:p w:rsidR="007569A1" w:rsidRPr="00EE6634" w:rsidRDefault="008E74E1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2946</w:t>
            </w:r>
          </w:p>
        </w:tc>
        <w:tc>
          <w:tcPr>
            <w:tcW w:w="2169" w:type="dxa"/>
            <w:shd w:val="clear" w:color="000000" w:fill="FFFFFF" w:themeFill="background1"/>
            <w:vAlign w:val="center"/>
          </w:tcPr>
          <w:p w:rsidR="007569A1" w:rsidRPr="00EE6634" w:rsidRDefault="00C569C2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-14.73</w:t>
            </w:r>
          </w:p>
        </w:tc>
      </w:tr>
      <w:tr w:rsidR="007569A1" w:rsidRPr="00EE6634" w:rsidTr="00C569C2">
        <w:trPr>
          <w:trHeight w:val="405"/>
          <w:jc w:val="center"/>
        </w:trPr>
        <w:tc>
          <w:tcPr>
            <w:tcW w:w="3460" w:type="dxa"/>
            <w:shd w:val="clear" w:color="000000" w:fill="FFFFFF" w:themeFill="background1"/>
            <w:vAlign w:val="center"/>
          </w:tcPr>
          <w:p w:rsidR="007569A1" w:rsidRPr="00EE6634" w:rsidRDefault="001B1A4A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lastRenderedPageBreak/>
              <w:t>油料（吨）</w:t>
            </w:r>
          </w:p>
        </w:tc>
        <w:tc>
          <w:tcPr>
            <w:tcW w:w="1390" w:type="dxa"/>
            <w:shd w:val="clear" w:color="000000" w:fill="FFFFFF" w:themeFill="background1"/>
            <w:vAlign w:val="center"/>
          </w:tcPr>
          <w:p w:rsidR="007569A1" w:rsidRPr="00EE6634" w:rsidRDefault="00E6716F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16336</w:t>
            </w:r>
          </w:p>
        </w:tc>
        <w:tc>
          <w:tcPr>
            <w:tcW w:w="2169" w:type="dxa"/>
            <w:shd w:val="clear" w:color="000000" w:fill="FFFFFF" w:themeFill="background1"/>
            <w:vAlign w:val="center"/>
          </w:tcPr>
          <w:p w:rsidR="007569A1" w:rsidRPr="00EE6634" w:rsidRDefault="00E6716F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589.0</w:t>
            </w:r>
          </w:p>
        </w:tc>
      </w:tr>
      <w:tr w:rsidR="007569A1" w:rsidRPr="00EE6634" w:rsidTr="00C569C2">
        <w:trPr>
          <w:trHeight w:val="405"/>
          <w:jc w:val="center"/>
        </w:trPr>
        <w:tc>
          <w:tcPr>
            <w:tcW w:w="3460" w:type="dxa"/>
            <w:shd w:val="clear" w:color="000000" w:fill="FFFFFF" w:themeFill="background1"/>
            <w:vAlign w:val="center"/>
          </w:tcPr>
          <w:p w:rsidR="007569A1" w:rsidRPr="00EE6634" w:rsidRDefault="001B1A4A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 xml:space="preserve">蔬菜及食用菌（吨）     </w:t>
            </w:r>
          </w:p>
        </w:tc>
        <w:tc>
          <w:tcPr>
            <w:tcW w:w="1390" w:type="dxa"/>
            <w:shd w:val="clear" w:color="000000" w:fill="FFFFFF" w:themeFill="background1"/>
            <w:vAlign w:val="center"/>
          </w:tcPr>
          <w:p w:rsidR="007569A1" w:rsidRPr="00EE6634" w:rsidRDefault="00E6716F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2272.6</w:t>
            </w:r>
          </w:p>
        </w:tc>
        <w:tc>
          <w:tcPr>
            <w:tcW w:w="2169" w:type="dxa"/>
            <w:shd w:val="clear" w:color="000000" w:fill="FFFFFF" w:themeFill="background1"/>
            <w:vAlign w:val="center"/>
          </w:tcPr>
          <w:p w:rsidR="007569A1" w:rsidRPr="00EE6634" w:rsidRDefault="00E6716F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10.0</w:t>
            </w:r>
          </w:p>
        </w:tc>
      </w:tr>
      <w:tr w:rsidR="007569A1" w:rsidRPr="00EE6634" w:rsidTr="00C569C2">
        <w:trPr>
          <w:trHeight w:val="405"/>
          <w:jc w:val="center"/>
        </w:trPr>
        <w:tc>
          <w:tcPr>
            <w:tcW w:w="3460" w:type="dxa"/>
            <w:shd w:val="clear" w:color="000000" w:fill="FFFFFF" w:themeFill="background1"/>
            <w:vAlign w:val="center"/>
          </w:tcPr>
          <w:p w:rsidR="007569A1" w:rsidRPr="00EE6634" w:rsidRDefault="001B1A4A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牛奶（吨）</w:t>
            </w:r>
          </w:p>
        </w:tc>
        <w:tc>
          <w:tcPr>
            <w:tcW w:w="1390" w:type="dxa"/>
            <w:shd w:val="clear" w:color="000000" w:fill="FFFFFF" w:themeFill="background1"/>
            <w:vAlign w:val="center"/>
          </w:tcPr>
          <w:p w:rsidR="007569A1" w:rsidRPr="00EE6634" w:rsidRDefault="00D434B6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668</w:t>
            </w:r>
          </w:p>
        </w:tc>
        <w:tc>
          <w:tcPr>
            <w:tcW w:w="2169" w:type="dxa"/>
            <w:shd w:val="clear" w:color="000000" w:fill="FFFFFF" w:themeFill="background1"/>
            <w:vAlign w:val="center"/>
          </w:tcPr>
          <w:p w:rsidR="007569A1" w:rsidRPr="00EE6634" w:rsidRDefault="00D434B6" w:rsidP="00F362A2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0.</w:t>
            </w:r>
            <w:r w:rsidR="00F362A2" w:rsidRPr="00EE6634">
              <w:rPr>
                <w:rFonts w:ascii="宋体" w:eastAsia="宋体" w:hAnsi="宋体" w:cs="Tahoma" w:hint="eastAsia"/>
                <w:sz w:val="24"/>
                <w:szCs w:val="24"/>
              </w:rPr>
              <w:t>8</w:t>
            </w:r>
          </w:p>
        </w:tc>
      </w:tr>
      <w:tr w:rsidR="007569A1" w:rsidRPr="00EE6634" w:rsidTr="00C569C2">
        <w:trPr>
          <w:trHeight w:val="405"/>
          <w:jc w:val="center"/>
        </w:trPr>
        <w:tc>
          <w:tcPr>
            <w:tcW w:w="3460" w:type="dxa"/>
            <w:shd w:val="clear" w:color="000000" w:fill="FFFFFF" w:themeFill="background1"/>
            <w:vAlign w:val="center"/>
          </w:tcPr>
          <w:p w:rsidR="007569A1" w:rsidRPr="00EE6634" w:rsidRDefault="001B1A4A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绵羊毛（吨）</w:t>
            </w:r>
          </w:p>
        </w:tc>
        <w:tc>
          <w:tcPr>
            <w:tcW w:w="1390" w:type="dxa"/>
            <w:shd w:val="clear" w:color="000000" w:fill="FFFFFF" w:themeFill="background1"/>
            <w:vAlign w:val="center"/>
          </w:tcPr>
          <w:p w:rsidR="007569A1" w:rsidRPr="00EE6634" w:rsidRDefault="00D434B6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592</w:t>
            </w:r>
          </w:p>
        </w:tc>
        <w:tc>
          <w:tcPr>
            <w:tcW w:w="2169" w:type="dxa"/>
            <w:shd w:val="clear" w:color="000000" w:fill="FFFFFF" w:themeFill="background1"/>
            <w:vAlign w:val="center"/>
          </w:tcPr>
          <w:p w:rsidR="007569A1" w:rsidRPr="00EE6634" w:rsidRDefault="00D434B6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-3.9</w:t>
            </w:r>
          </w:p>
        </w:tc>
      </w:tr>
      <w:tr w:rsidR="007569A1" w:rsidRPr="00EE6634" w:rsidTr="00C569C2">
        <w:trPr>
          <w:trHeight w:val="405"/>
          <w:jc w:val="center"/>
        </w:trPr>
        <w:tc>
          <w:tcPr>
            <w:tcW w:w="3460" w:type="dxa"/>
            <w:shd w:val="clear" w:color="000000" w:fill="FFFFFF" w:themeFill="background1"/>
            <w:vAlign w:val="center"/>
          </w:tcPr>
          <w:p w:rsidR="007569A1" w:rsidRPr="00EE6634" w:rsidRDefault="001B1A4A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山羊绒（吨）</w:t>
            </w:r>
          </w:p>
        </w:tc>
        <w:tc>
          <w:tcPr>
            <w:tcW w:w="1390" w:type="dxa"/>
            <w:shd w:val="clear" w:color="000000" w:fill="FFFFFF" w:themeFill="background1"/>
            <w:vAlign w:val="center"/>
          </w:tcPr>
          <w:p w:rsidR="007569A1" w:rsidRPr="00EE6634" w:rsidRDefault="001B1A4A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1</w:t>
            </w:r>
          </w:p>
        </w:tc>
        <w:tc>
          <w:tcPr>
            <w:tcW w:w="2169" w:type="dxa"/>
            <w:shd w:val="clear" w:color="000000" w:fill="FFFFFF" w:themeFill="background1"/>
            <w:vAlign w:val="center"/>
          </w:tcPr>
          <w:p w:rsidR="007569A1" w:rsidRPr="00EE6634" w:rsidRDefault="00D434B6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0</w:t>
            </w:r>
          </w:p>
        </w:tc>
      </w:tr>
      <w:tr w:rsidR="007569A1" w:rsidRPr="00EE6634" w:rsidTr="00C569C2">
        <w:trPr>
          <w:trHeight w:val="405"/>
          <w:jc w:val="center"/>
        </w:trPr>
        <w:tc>
          <w:tcPr>
            <w:tcW w:w="3460" w:type="dxa"/>
            <w:shd w:val="clear" w:color="000000" w:fill="FFFFFF" w:themeFill="background1"/>
            <w:vAlign w:val="center"/>
          </w:tcPr>
          <w:p w:rsidR="007569A1" w:rsidRPr="00EE6634" w:rsidRDefault="001B1A4A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肉类总产量（吨）</w:t>
            </w:r>
          </w:p>
        </w:tc>
        <w:tc>
          <w:tcPr>
            <w:tcW w:w="1390" w:type="dxa"/>
            <w:shd w:val="clear" w:color="000000" w:fill="FFFFFF" w:themeFill="background1"/>
            <w:vAlign w:val="center"/>
          </w:tcPr>
          <w:p w:rsidR="007569A1" w:rsidRPr="00EE6634" w:rsidRDefault="00F362A2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2141</w:t>
            </w:r>
          </w:p>
        </w:tc>
        <w:tc>
          <w:tcPr>
            <w:tcW w:w="2169" w:type="dxa"/>
            <w:shd w:val="clear" w:color="000000" w:fill="FFFFFF" w:themeFill="background1"/>
            <w:vAlign w:val="center"/>
          </w:tcPr>
          <w:p w:rsidR="007569A1" w:rsidRPr="00EE6634" w:rsidRDefault="00F362A2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5.4</w:t>
            </w:r>
          </w:p>
        </w:tc>
      </w:tr>
      <w:tr w:rsidR="007569A1" w:rsidRPr="00EE6634" w:rsidTr="00C569C2">
        <w:trPr>
          <w:trHeight w:val="405"/>
          <w:jc w:val="center"/>
        </w:trPr>
        <w:tc>
          <w:tcPr>
            <w:tcW w:w="3460" w:type="dxa"/>
            <w:shd w:val="clear" w:color="000000" w:fill="FFFFFF" w:themeFill="background1"/>
            <w:vAlign w:val="center"/>
          </w:tcPr>
          <w:p w:rsidR="007569A1" w:rsidRPr="00EE6634" w:rsidRDefault="001B1A4A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  #猪肉</w:t>
            </w:r>
          </w:p>
        </w:tc>
        <w:tc>
          <w:tcPr>
            <w:tcW w:w="1390" w:type="dxa"/>
            <w:shd w:val="clear" w:color="000000" w:fill="FFFFFF" w:themeFill="background1"/>
            <w:vAlign w:val="center"/>
          </w:tcPr>
          <w:p w:rsidR="007569A1" w:rsidRPr="00EE6634" w:rsidRDefault="00D434B6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129</w:t>
            </w:r>
          </w:p>
        </w:tc>
        <w:tc>
          <w:tcPr>
            <w:tcW w:w="2169" w:type="dxa"/>
            <w:shd w:val="clear" w:color="000000" w:fill="FFFFFF" w:themeFill="background1"/>
            <w:vAlign w:val="center"/>
          </w:tcPr>
          <w:p w:rsidR="007569A1" w:rsidRPr="00EE6634" w:rsidRDefault="00D434B6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-33.5</w:t>
            </w:r>
          </w:p>
        </w:tc>
      </w:tr>
      <w:tr w:rsidR="007569A1" w:rsidRPr="00EE6634" w:rsidTr="00C569C2">
        <w:trPr>
          <w:trHeight w:val="405"/>
          <w:jc w:val="center"/>
        </w:trPr>
        <w:tc>
          <w:tcPr>
            <w:tcW w:w="3460" w:type="dxa"/>
            <w:shd w:val="clear" w:color="000000" w:fill="FFFFFF" w:themeFill="background1"/>
            <w:vAlign w:val="center"/>
          </w:tcPr>
          <w:p w:rsidR="007569A1" w:rsidRPr="00EE6634" w:rsidRDefault="001B1A4A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   牛肉</w:t>
            </w:r>
          </w:p>
        </w:tc>
        <w:tc>
          <w:tcPr>
            <w:tcW w:w="1390" w:type="dxa"/>
            <w:shd w:val="clear" w:color="000000" w:fill="FFFFFF" w:themeFill="background1"/>
            <w:vAlign w:val="center"/>
          </w:tcPr>
          <w:p w:rsidR="007569A1" w:rsidRPr="00EE6634" w:rsidRDefault="00D434B6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471</w:t>
            </w:r>
          </w:p>
        </w:tc>
        <w:tc>
          <w:tcPr>
            <w:tcW w:w="2169" w:type="dxa"/>
            <w:shd w:val="clear" w:color="000000" w:fill="FFFFFF" w:themeFill="background1"/>
            <w:vAlign w:val="center"/>
          </w:tcPr>
          <w:p w:rsidR="007569A1" w:rsidRPr="00EE6634" w:rsidRDefault="00D434B6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38.9</w:t>
            </w:r>
          </w:p>
        </w:tc>
      </w:tr>
      <w:tr w:rsidR="007569A1" w:rsidRPr="00EE6634" w:rsidTr="00C569C2">
        <w:trPr>
          <w:trHeight w:val="405"/>
          <w:jc w:val="center"/>
        </w:trPr>
        <w:tc>
          <w:tcPr>
            <w:tcW w:w="3460" w:type="dxa"/>
            <w:shd w:val="clear" w:color="000000" w:fill="FFFFFF" w:themeFill="background1"/>
            <w:vAlign w:val="center"/>
          </w:tcPr>
          <w:p w:rsidR="007569A1" w:rsidRPr="00EE6634" w:rsidRDefault="001B1A4A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  羊肉</w:t>
            </w:r>
          </w:p>
        </w:tc>
        <w:tc>
          <w:tcPr>
            <w:tcW w:w="1390" w:type="dxa"/>
            <w:shd w:val="clear" w:color="000000" w:fill="FFFFFF" w:themeFill="background1"/>
            <w:vAlign w:val="center"/>
          </w:tcPr>
          <w:p w:rsidR="007569A1" w:rsidRPr="00EE6634" w:rsidRDefault="00D434B6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1427</w:t>
            </w:r>
          </w:p>
        </w:tc>
        <w:tc>
          <w:tcPr>
            <w:tcW w:w="2169" w:type="dxa"/>
            <w:shd w:val="clear" w:color="000000" w:fill="FFFFFF" w:themeFill="background1"/>
            <w:vAlign w:val="center"/>
          </w:tcPr>
          <w:p w:rsidR="007569A1" w:rsidRPr="00EE6634" w:rsidRDefault="00D434B6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2.2</w:t>
            </w:r>
          </w:p>
        </w:tc>
      </w:tr>
      <w:tr w:rsidR="007569A1" w:rsidRPr="00EE6634" w:rsidTr="00C569C2">
        <w:trPr>
          <w:trHeight w:val="405"/>
          <w:jc w:val="center"/>
        </w:trPr>
        <w:tc>
          <w:tcPr>
            <w:tcW w:w="3460" w:type="dxa"/>
            <w:shd w:val="clear" w:color="000000" w:fill="FFFFFF" w:themeFill="background1"/>
            <w:vAlign w:val="center"/>
          </w:tcPr>
          <w:p w:rsidR="007569A1" w:rsidRPr="00EE6634" w:rsidRDefault="001B1A4A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牧业年度牲畜存栏（头、只）</w:t>
            </w:r>
          </w:p>
        </w:tc>
        <w:tc>
          <w:tcPr>
            <w:tcW w:w="1390" w:type="dxa"/>
            <w:shd w:val="clear" w:color="000000" w:fill="FFFFFF" w:themeFill="background1"/>
            <w:vAlign w:val="center"/>
          </w:tcPr>
          <w:p w:rsidR="007569A1" w:rsidRPr="00EE6634" w:rsidRDefault="00E87447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164533</w:t>
            </w:r>
          </w:p>
        </w:tc>
        <w:tc>
          <w:tcPr>
            <w:tcW w:w="2169" w:type="dxa"/>
            <w:shd w:val="clear" w:color="000000" w:fill="FFFFFF" w:themeFill="background1"/>
            <w:vAlign w:val="center"/>
          </w:tcPr>
          <w:p w:rsidR="007569A1" w:rsidRPr="00EE6634" w:rsidRDefault="00E87447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-32.0</w:t>
            </w:r>
          </w:p>
        </w:tc>
      </w:tr>
      <w:tr w:rsidR="007569A1" w:rsidRPr="00EE6634" w:rsidTr="00C569C2">
        <w:trPr>
          <w:trHeight w:val="405"/>
          <w:jc w:val="center"/>
        </w:trPr>
        <w:tc>
          <w:tcPr>
            <w:tcW w:w="3460" w:type="dxa"/>
            <w:shd w:val="clear" w:color="000000" w:fill="FFFFFF" w:themeFill="background1"/>
            <w:vAlign w:val="center"/>
          </w:tcPr>
          <w:p w:rsidR="007569A1" w:rsidRPr="00EE6634" w:rsidRDefault="001B1A4A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  #大牲畜（头）</w:t>
            </w:r>
          </w:p>
        </w:tc>
        <w:tc>
          <w:tcPr>
            <w:tcW w:w="1390" w:type="dxa"/>
            <w:shd w:val="clear" w:color="000000" w:fill="FFFFFF" w:themeFill="background1"/>
            <w:vAlign w:val="center"/>
          </w:tcPr>
          <w:p w:rsidR="007569A1" w:rsidRPr="00EE6634" w:rsidRDefault="00C569C2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9025</w:t>
            </w:r>
          </w:p>
        </w:tc>
        <w:tc>
          <w:tcPr>
            <w:tcW w:w="2169" w:type="dxa"/>
            <w:shd w:val="clear" w:color="000000" w:fill="FFFFFF" w:themeFill="background1"/>
            <w:vAlign w:val="center"/>
          </w:tcPr>
          <w:p w:rsidR="007569A1" w:rsidRPr="00EE6634" w:rsidRDefault="00363E40" w:rsidP="00C569C2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-</w:t>
            </w:r>
            <w:r w:rsidR="00C569C2" w:rsidRPr="00EE6634">
              <w:rPr>
                <w:rFonts w:ascii="宋体" w:eastAsia="宋体" w:hAnsi="宋体" w:cs="Tahoma" w:hint="eastAsia"/>
                <w:sz w:val="24"/>
                <w:szCs w:val="24"/>
              </w:rPr>
              <w:t>9.2</w:t>
            </w:r>
          </w:p>
        </w:tc>
      </w:tr>
      <w:tr w:rsidR="007569A1" w:rsidRPr="00EE6634" w:rsidTr="00C569C2">
        <w:trPr>
          <w:trHeight w:val="405"/>
          <w:jc w:val="center"/>
        </w:trPr>
        <w:tc>
          <w:tcPr>
            <w:tcW w:w="3460" w:type="dxa"/>
            <w:shd w:val="clear" w:color="000000" w:fill="FFFFFF" w:themeFill="background1"/>
            <w:vAlign w:val="center"/>
          </w:tcPr>
          <w:p w:rsidR="007569A1" w:rsidRPr="00EE6634" w:rsidRDefault="001B1A4A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   羊（只）</w:t>
            </w:r>
          </w:p>
        </w:tc>
        <w:tc>
          <w:tcPr>
            <w:tcW w:w="1390" w:type="dxa"/>
            <w:shd w:val="clear" w:color="000000" w:fill="FFFFFF" w:themeFill="background1"/>
            <w:vAlign w:val="center"/>
          </w:tcPr>
          <w:p w:rsidR="007569A1" w:rsidRPr="00EE6634" w:rsidRDefault="00363E40" w:rsidP="00C569C2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15</w:t>
            </w:r>
            <w:r w:rsidR="00C569C2" w:rsidRPr="00EE6634">
              <w:rPr>
                <w:rFonts w:ascii="宋体" w:eastAsia="宋体" w:hAnsi="宋体" w:cs="Tahoma" w:hint="eastAsia"/>
                <w:sz w:val="24"/>
                <w:szCs w:val="24"/>
              </w:rPr>
              <w:t>1768</w:t>
            </w:r>
          </w:p>
        </w:tc>
        <w:tc>
          <w:tcPr>
            <w:tcW w:w="2169" w:type="dxa"/>
            <w:shd w:val="clear" w:color="000000" w:fill="FFFFFF" w:themeFill="background1"/>
            <w:vAlign w:val="center"/>
          </w:tcPr>
          <w:p w:rsidR="007569A1" w:rsidRPr="00EE6634" w:rsidRDefault="00C569C2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-33.52</w:t>
            </w:r>
          </w:p>
        </w:tc>
      </w:tr>
      <w:tr w:rsidR="007569A1" w:rsidRPr="00EE6634" w:rsidTr="00C569C2">
        <w:trPr>
          <w:trHeight w:val="405"/>
          <w:jc w:val="center"/>
        </w:trPr>
        <w:tc>
          <w:tcPr>
            <w:tcW w:w="3460" w:type="dxa"/>
            <w:shd w:val="clear" w:color="000000" w:fill="FFFFFF" w:themeFill="background1"/>
            <w:vAlign w:val="center"/>
          </w:tcPr>
          <w:p w:rsidR="007569A1" w:rsidRPr="00EE6634" w:rsidRDefault="001B1A4A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   猪（头）</w:t>
            </w:r>
          </w:p>
        </w:tc>
        <w:tc>
          <w:tcPr>
            <w:tcW w:w="1390" w:type="dxa"/>
            <w:shd w:val="clear" w:color="000000" w:fill="FFFFFF" w:themeFill="background1"/>
            <w:vAlign w:val="center"/>
          </w:tcPr>
          <w:p w:rsidR="007569A1" w:rsidRPr="00EE6634" w:rsidRDefault="00C569C2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3740</w:t>
            </w:r>
          </w:p>
        </w:tc>
        <w:tc>
          <w:tcPr>
            <w:tcW w:w="2169" w:type="dxa"/>
            <w:shd w:val="clear" w:color="000000" w:fill="FFFFFF" w:themeFill="background1"/>
            <w:vAlign w:val="center"/>
          </w:tcPr>
          <w:p w:rsidR="007569A1" w:rsidRPr="00EE6634" w:rsidRDefault="00C569C2">
            <w:pPr>
              <w:adjustRightInd/>
              <w:snapToGrid/>
              <w:spacing w:after="0"/>
              <w:jc w:val="right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1</w:t>
            </w:r>
          </w:p>
        </w:tc>
      </w:tr>
    </w:tbl>
    <w:p w:rsidR="007569A1" w:rsidRPr="00EE6634" w:rsidRDefault="007569A1" w:rsidP="00D01C54">
      <w:pPr>
        <w:spacing w:line="360" w:lineRule="auto"/>
        <w:ind w:firstLineChars="209" w:firstLine="669"/>
        <w:jc w:val="both"/>
        <w:rPr>
          <w:rFonts w:ascii="仿宋" w:eastAsia="仿宋" w:hAnsi="仿宋"/>
          <w:color w:val="FF0000"/>
          <w:sz w:val="32"/>
          <w:szCs w:val="32"/>
        </w:rPr>
      </w:pPr>
    </w:p>
    <w:p w:rsidR="007569A1" w:rsidRPr="00EE6634" w:rsidRDefault="001B1A4A" w:rsidP="00D01C54">
      <w:pPr>
        <w:spacing w:line="360" w:lineRule="auto"/>
        <w:ind w:firstLineChars="209" w:firstLine="669"/>
        <w:jc w:val="both"/>
        <w:rPr>
          <w:rFonts w:ascii="仿宋" w:eastAsia="仿宋" w:hAnsi="仿宋"/>
          <w:sz w:val="32"/>
          <w:szCs w:val="32"/>
        </w:rPr>
      </w:pPr>
      <w:r w:rsidRPr="00EE6634">
        <w:rPr>
          <w:rFonts w:ascii="仿宋" w:eastAsia="仿宋" w:hAnsi="仿宋" w:hint="eastAsia"/>
          <w:sz w:val="32"/>
          <w:szCs w:val="32"/>
        </w:rPr>
        <w:t>全年全市农牧业机械总动力4.1万千瓦，大中小型拖拉机</w:t>
      </w:r>
      <w:r w:rsidR="00432DEB" w:rsidRPr="00EE6634">
        <w:rPr>
          <w:rFonts w:ascii="仿宋" w:eastAsia="仿宋" w:hAnsi="仿宋" w:hint="eastAsia"/>
          <w:sz w:val="32"/>
          <w:szCs w:val="32"/>
        </w:rPr>
        <w:t>718</w:t>
      </w:r>
      <w:r w:rsidRPr="00EE6634">
        <w:rPr>
          <w:rFonts w:ascii="仿宋" w:eastAsia="仿宋" w:hAnsi="仿宋" w:hint="eastAsia"/>
          <w:sz w:val="32"/>
          <w:szCs w:val="32"/>
        </w:rPr>
        <w:t>台，其中，大中型拖拉机</w:t>
      </w:r>
      <w:r w:rsidR="00432DEB" w:rsidRPr="00EE6634">
        <w:rPr>
          <w:rFonts w:ascii="仿宋" w:eastAsia="仿宋" w:hAnsi="仿宋" w:hint="eastAsia"/>
          <w:sz w:val="32"/>
          <w:szCs w:val="32"/>
        </w:rPr>
        <w:t>194</w:t>
      </w:r>
      <w:r w:rsidRPr="00EE6634">
        <w:rPr>
          <w:rFonts w:ascii="仿宋" w:eastAsia="仿宋" w:hAnsi="仿宋" w:hint="eastAsia"/>
          <w:sz w:val="32"/>
          <w:szCs w:val="32"/>
        </w:rPr>
        <w:t>台,小型拖拉机</w:t>
      </w:r>
      <w:r w:rsidR="00432DEB" w:rsidRPr="00EE6634">
        <w:rPr>
          <w:rFonts w:ascii="仿宋" w:eastAsia="仿宋" w:hAnsi="仿宋" w:hint="eastAsia"/>
          <w:sz w:val="32"/>
          <w:szCs w:val="32"/>
        </w:rPr>
        <w:t>524</w:t>
      </w:r>
      <w:r w:rsidRPr="00EE6634">
        <w:rPr>
          <w:rFonts w:ascii="仿宋" w:eastAsia="仿宋" w:hAnsi="仿宋" w:hint="eastAsia"/>
          <w:sz w:val="32"/>
          <w:szCs w:val="32"/>
        </w:rPr>
        <w:t>台。联合收割机</w:t>
      </w:r>
      <w:r w:rsidR="00432DEB" w:rsidRPr="00EE6634">
        <w:rPr>
          <w:rFonts w:ascii="仿宋" w:eastAsia="仿宋" w:hAnsi="仿宋" w:hint="eastAsia"/>
          <w:sz w:val="32"/>
          <w:szCs w:val="32"/>
        </w:rPr>
        <w:t>177</w:t>
      </w:r>
      <w:r w:rsidRPr="00EE6634">
        <w:rPr>
          <w:rFonts w:ascii="仿宋" w:eastAsia="仿宋" w:hAnsi="仿宋" w:hint="eastAsia"/>
          <w:sz w:val="32"/>
          <w:szCs w:val="32"/>
        </w:rPr>
        <w:t>台，各种农机具</w:t>
      </w:r>
      <w:r w:rsidR="002824E2" w:rsidRPr="00EE6634">
        <w:rPr>
          <w:rFonts w:ascii="仿宋" w:eastAsia="仿宋" w:hAnsi="仿宋" w:hint="eastAsia"/>
          <w:sz w:val="32"/>
          <w:szCs w:val="32"/>
        </w:rPr>
        <w:t>1765</w:t>
      </w:r>
      <w:r w:rsidRPr="00EE6634">
        <w:rPr>
          <w:rFonts w:ascii="仿宋" w:eastAsia="仿宋" w:hAnsi="仿宋" w:hint="eastAsia"/>
          <w:sz w:val="32"/>
          <w:szCs w:val="32"/>
        </w:rPr>
        <w:t>（套），化肥施用量（折纯）</w:t>
      </w:r>
      <w:r w:rsidR="00493D6F" w:rsidRPr="00EE6634">
        <w:rPr>
          <w:rFonts w:ascii="仿宋" w:eastAsia="仿宋" w:hAnsi="仿宋" w:hint="eastAsia"/>
          <w:sz w:val="32"/>
          <w:szCs w:val="32"/>
        </w:rPr>
        <w:t>770</w:t>
      </w:r>
      <w:r w:rsidRPr="00EE6634">
        <w:rPr>
          <w:rFonts w:ascii="仿宋" w:eastAsia="仿宋" w:hAnsi="仿宋" w:hint="eastAsia"/>
          <w:sz w:val="32"/>
          <w:szCs w:val="32"/>
        </w:rPr>
        <w:t>吨，农用柴油</w:t>
      </w:r>
      <w:r w:rsidR="00493D6F" w:rsidRPr="00EE6634">
        <w:rPr>
          <w:rFonts w:ascii="仿宋" w:eastAsia="仿宋" w:hAnsi="仿宋" w:hint="eastAsia"/>
          <w:sz w:val="32"/>
          <w:szCs w:val="32"/>
        </w:rPr>
        <w:t>1284</w:t>
      </w:r>
      <w:r w:rsidRPr="00EE6634">
        <w:rPr>
          <w:rFonts w:ascii="仿宋" w:eastAsia="仿宋" w:hAnsi="仿宋" w:hint="eastAsia"/>
          <w:sz w:val="32"/>
          <w:szCs w:val="32"/>
        </w:rPr>
        <w:t>吨，农药使用量4</w:t>
      </w:r>
      <w:r w:rsidR="00493D6F" w:rsidRPr="00EE6634">
        <w:rPr>
          <w:rFonts w:ascii="仿宋" w:eastAsia="仿宋" w:hAnsi="仿宋" w:hint="eastAsia"/>
          <w:sz w:val="32"/>
          <w:szCs w:val="32"/>
        </w:rPr>
        <w:t>2</w:t>
      </w:r>
      <w:r w:rsidRPr="00EE6634">
        <w:rPr>
          <w:rFonts w:ascii="仿宋" w:eastAsia="仿宋" w:hAnsi="仿宋" w:hint="eastAsia"/>
          <w:sz w:val="32"/>
          <w:szCs w:val="32"/>
        </w:rPr>
        <w:t>吨。</w:t>
      </w:r>
    </w:p>
    <w:p w:rsidR="007569A1" w:rsidRPr="00EE6634" w:rsidRDefault="001B1A4A">
      <w:pPr>
        <w:spacing w:line="360" w:lineRule="auto"/>
        <w:ind w:firstLineChars="200" w:firstLine="643"/>
        <w:jc w:val="both"/>
        <w:rPr>
          <w:rFonts w:ascii="仿宋" w:eastAsia="仿宋" w:hAnsi="仿宋"/>
          <w:b/>
          <w:sz w:val="32"/>
          <w:szCs w:val="32"/>
        </w:rPr>
      </w:pPr>
      <w:r w:rsidRPr="00EE6634">
        <w:rPr>
          <w:rFonts w:ascii="仿宋" w:eastAsia="仿宋" w:hAnsi="仿宋" w:hint="eastAsia"/>
          <w:b/>
          <w:sz w:val="32"/>
          <w:szCs w:val="32"/>
        </w:rPr>
        <w:t>三、工业</w:t>
      </w:r>
    </w:p>
    <w:p w:rsidR="007569A1" w:rsidRPr="00EE6634" w:rsidRDefault="001B1A4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E6634">
        <w:rPr>
          <w:rFonts w:ascii="仿宋" w:eastAsia="仿宋" w:hAnsi="仿宋" w:hint="eastAsia"/>
          <w:sz w:val="32"/>
          <w:szCs w:val="32"/>
        </w:rPr>
        <w:t>规模以上工业企业完成增加值</w:t>
      </w:r>
      <w:r w:rsidR="00AC1CA2" w:rsidRPr="00EE6634">
        <w:rPr>
          <w:rFonts w:ascii="仿宋" w:eastAsia="仿宋" w:hAnsi="仿宋" w:hint="eastAsia"/>
          <w:sz w:val="32"/>
          <w:szCs w:val="32"/>
        </w:rPr>
        <w:t>同比下降47.1</w:t>
      </w:r>
      <w:r w:rsidRPr="00EE6634">
        <w:rPr>
          <w:rFonts w:ascii="仿宋" w:eastAsia="仿宋" w:hAnsi="仿宋" w:hint="eastAsia"/>
          <w:sz w:val="32"/>
          <w:szCs w:val="32"/>
        </w:rPr>
        <w:t>%。规模以上工业企业实现产品销售率</w:t>
      </w:r>
      <w:r w:rsidR="00AC1CA2" w:rsidRPr="00EE6634">
        <w:rPr>
          <w:rFonts w:ascii="仿宋" w:eastAsia="仿宋" w:hAnsi="仿宋" w:hint="eastAsia"/>
          <w:sz w:val="32"/>
          <w:szCs w:val="32"/>
        </w:rPr>
        <w:t>57.8</w:t>
      </w:r>
      <w:r w:rsidRPr="00EE6634">
        <w:rPr>
          <w:rFonts w:ascii="仿宋" w:eastAsia="仿宋" w:hAnsi="仿宋" w:hint="eastAsia"/>
          <w:sz w:val="32"/>
          <w:szCs w:val="32"/>
        </w:rPr>
        <w:t>%，比上年下降</w:t>
      </w:r>
      <w:r w:rsidR="00AC1CA2" w:rsidRPr="00EE6634">
        <w:rPr>
          <w:rFonts w:ascii="仿宋" w:eastAsia="仿宋" w:hAnsi="仿宋" w:hint="eastAsia"/>
          <w:sz w:val="32"/>
          <w:szCs w:val="32"/>
        </w:rPr>
        <w:t>17.6</w:t>
      </w:r>
      <w:r w:rsidRPr="00EE6634">
        <w:rPr>
          <w:rFonts w:ascii="仿宋" w:eastAsia="仿宋" w:hAnsi="仿宋" w:hint="eastAsia"/>
          <w:sz w:val="32"/>
          <w:szCs w:val="32"/>
        </w:rPr>
        <w:t>个百分点；实现主营业务收入</w:t>
      </w:r>
      <w:r w:rsidR="00AC1CA2" w:rsidRPr="00EE6634">
        <w:rPr>
          <w:rFonts w:ascii="仿宋" w:eastAsia="仿宋" w:hAnsi="仿宋" w:hint="eastAsia"/>
          <w:sz w:val="32"/>
          <w:szCs w:val="32"/>
        </w:rPr>
        <w:t>21</w:t>
      </w:r>
      <w:r w:rsidR="00CB3E07" w:rsidRPr="00EE6634">
        <w:rPr>
          <w:rFonts w:ascii="仿宋" w:eastAsia="仿宋" w:hAnsi="仿宋" w:hint="eastAsia"/>
          <w:sz w:val="32"/>
          <w:szCs w:val="32"/>
        </w:rPr>
        <w:t>0</w:t>
      </w:r>
      <w:r w:rsidR="00AC1CA2" w:rsidRPr="00EE6634">
        <w:rPr>
          <w:rFonts w:ascii="仿宋" w:eastAsia="仿宋" w:hAnsi="仿宋" w:hint="eastAsia"/>
          <w:sz w:val="32"/>
          <w:szCs w:val="32"/>
        </w:rPr>
        <w:t>3</w:t>
      </w:r>
      <w:r w:rsidRPr="00EE6634">
        <w:rPr>
          <w:rFonts w:ascii="仿宋" w:eastAsia="仿宋" w:hAnsi="仿宋" w:hint="eastAsia"/>
          <w:sz w:val="32"/>
          <w:szCs w:val="32"/>
        </w:rPr>
        <w:t>万元，</w:t>
      </w:r>
      <w:r w:rsidR="00AC1CA2" w:rsidRPr="00EE6634">
        <w:rPr>
          <w:rFonts w:ascii="仿宋" w:eastAsia="仿宋" w:hAnsi="仿宋" w:hint="eastAsia"/>
          <w:sz w:val="32"/>
          <w:szCs w:val="32"/>
        </w:rPr>
        <w:t>同比</w:t>
      </w:r>
      <w:r w:rsidRPr="00EE6634">
        <w:rPr>
          <w:rFonts w:ascii="仿宋" w:eastAsia="仿宋" w:hAnsi="仿宋" w:hint="eastAsia"/>
          <w:sz w:val="32"/>
          <w:szCs w:val="32"/>
        </w:rPr>
        <w:t>下降</w:t>
      </w:r>
      <w:r w:rsidR="00AC1CA2" w:rsidRPr="00EE6634">
        <w:rPr>
          <w:rFonts w:ascii="仿宋" w:eastAsia="仿宋" w:hAnsi="仿宋" w:hint="eastAsia"/>
          <w:sz w:val="32"/>
          <w:szCs w:val="32"/>
        </w:rPr>
        <w:t>59.1</w:t>
      </w:r>
      <w:r w:rsidRPr="00EE6634">
        <w:rPr>
          <w:rFonts w:ascii="仿宋" w:eastAsia="仿宋" w:hAnsi="仿宋" w:hint="eastAsia"/>
          <w:sz w:val="32"/>
          <w:szCs w:val="32"/>
        </w:rPr>
        <w:t>%。蓝海矿泉水产量</w:t>
      </w:r>
      <w:r w:rsidR="00580DD4" w:rsidRPr="00EE6634">
        <w:rPr>
          <w:rFonts w:ascii="仿宋" w:eastAsia="仿宋" w:hAnsi="仿宋" w:hint="eastAsia"/>
          <w:sz w:val="32"/>
          <w:szCs w:val="32"/>
        </w:rPr>
        <w:t>12972</w:t>
      </w:r>
      <w:r w:rsidRPr="00EE6634">
        <w:rPr>
          <w:rFonts w:ascii="仿宋" w:eastAsia="仿宋" w:hAnsi="仿宋" w:hint="eastAsia"/>
          <w:sz w:val="32"/>
          <w:szCs w:val="32"/>
        </w:rPr>
        <w:t>吨。</w:t>
      </w:r>
    </w:p>
    <w:p w:rsidR="007569A1" w:rsidRPr="00EE6634" w:rsidRDefault="00F62D33">
      <w:pPr>
        <w:rPr>
          <w:rFonts w:ascii="仿宋" w:eastAsia="仿宋" w:hAnsi="仿宋"/>
          <w:sz w:val="32"/>
          <w:szCs w:val="32"/>
        </w:rPr>
      </w:pPr>
      <w:r w:rsidRPr="00EE6634"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5400040" cy="2427518"/>
            <wp:effectExtent l="19050" t="0" r="10160" b="0"/>
            <wp:docPr id="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69A1" w:rsidRPr="00EE6634" w:rsidRDefault="001B1A4A">
      <w:pPr>
        <w:spacing w:line="360" w:lineRule="auto"/>
        <w:ind w:firstLineChars="200" w:firstLine="643"/>
        <w:jc w:val="both"/>
        <w:rPr>
          <w:rFonts w:ascii="仿宋" w:eastAsia="仿宋" w:hAnsi="仿宋"/>
          <w:b/>
          <w:sz w:val="32"/>
          <w:szCs w:val="32"/>
        </w:rPr>
      </w:pPr>
      <w:r w:rsidRPr="00EE6634">
        <w:rPr>
          <w:rFonts w:ascii="仿宋" w:eastAsia="仿宋" w:hAnsi="仿宋" w:hint="eastAsia"/>
          <w:b/>
          <w:sz w:val="32"/>
          <w:szCs w:val="32"/>
        </w:rPr>
        <w:t>四、固定资产投资和房地产开发</w:t>
      </w:r>
    </w:p>
    <w:p w:rsidR="00274AF2" w:rsidRPr="00EE6634" w:rsidRDefault="00274AF2" w:rsidP="00274AF2">
      <w:pPr>
        <w:spacing w:line="360" w:lineRule="auto"/>
        <w:ind w:firstLineChars="200" w:firstLine="640"/>
        <w:jc w:val="both"/>
        <w:rPr>
          <w:rFonts w:eastAsia="仿宋"/>
        </w:rPr>
      </w:pPr>
      <w:r w:rsidRPr="00EE6634">
        <w:rPr>
          <w:rFonts w:ascii="仿宋" w:eastAsia="仿宋" w:hAnsi="仿宋" w:hint="eastAsia"/>
          <w:sz w:val="32"/>
          <w:szCs w:val="32"/>
        </w:rPr>
        <w:t>全年500万元以上固定资产投资60233万元，比上年下降50.2%。其中，城镇固定资产投资完成48099万元，下降60.1%；房地产开发投资完成12134万元，增长97.5%。</w:t>
      </w:r>
    </w:p>
    <w:p w:rsidR="007569A1" w:rsidRPr="00EE6634" w:rsidRDefault="006C0D78">
      <w:pPr>
        <w:rPr>
          <w:rFonts w:ascii="宋体" w:eastAsia="宋体" w:hAnsi="宋体" w:cs="宋体"/>
          <w:sz w:val="24"/>
          <w:szCs w:val="24"/>
        </w:rPr>
      </w:pPr>
      <w:r w:rsidRPr="00EE6634"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5400040" cy="2721895"/>
            <wp:effectExtent l="19050" t="0" r="10160" b="2255"/>
            <wp:docPr id="4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569A1" w:rsidRPr="00EE6634" w:rsidRDefault="007569A1">
      <w:pPr>
        <w:rPr>
          <w:rFonts w:ascii="宋体" w:eastAsia="宋体" w:hAnsi="宋体" w:cs="宋体"/>
          <w:sz w:val="24"/>
          <w:szCs w:val="24"/>
        </w:rPr>
      </w:pPr>
    </w:p>
    <w:p w:rsidR="007569A1" w:rsidRPr="00EE6634" w:rsidRDefault="001B1A4A">
      <w:pPr>
        <w:spacing w:line="360" w:lineRule="auto"/>
        <w:ind w:firstLineChars="200" w:firstLine="482"/>
        <w:jc w:val="center"/>
        <w:rPr>
          <w:rFonts w:ascii="黑体" w:eastAsia="黑体" w:hAnsi="黑体"/>
          <w:b/>
          <w:sz w:val="24"/>
          <w:szCs w:val="24"/>
        </w:rPr>
      </w:pPr>
      <w:r w:rsidRPr="00EE6634">
        <w:rPr>
          <w:rFonts w:ascii="黑体" w:eastAsia="黑体" w:hAnsi="黑体" w:hint="eastAsia"/>
          <w:b/>
          <w:sz w:val="24"/>
          <w:szCs w:val="24"/>
        </w:rPr>
        <w:t>表2     分行业500万元以上固定资产投资</w:t>
      </w:r>
    </w:p>
    <w:tbl>
      <w:tblPr>
        <w:tblW w:w="6687" w:type="dxa"/>
        <w:jc w:val="center"/>
        <w:tblInd w:w="95" w:type="dxa"/>
        <w:tblLayout w:type="fixed"/>
        <w:tblLook w:val="04A0"/>
      </w:tblPr>
      <w:tblGrid>
        <w:gridCol w:w="4277"/>
        <w:gridCol w:w="2410"/>
      </w:tblGrid>
      <w:tr w:rsidR="00274AF2" w:rsidRPr="00EE6634" w:rsidTr="00D20782">
        <w:trPr>
          <w:trHeight w:val="405"/>
          <w:jc w:val="center"/>
        </w:trPr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AF2" w:rsidRPr="00EE6634" w:rsidRDefault="00274AF2" w:rsidP="00D2078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E663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指</w:t>
            </w:r>
            <w:r w:rsidRPr="00EE663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</w:t>
            </w:r>
            <w:r w:rsidRPr="00EE663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标</w:t>
            </w:r>
            <w:r w:rsidRPr="00EE663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</w:t>
            </w:r>
            <w:r w:rsidRPr="00EE663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名</w:t>
            </w:r>
            <w:r w:rsidRPr="00EE663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</w:t>
            </w:r>
            <w:r w:rsidRPr="00EE663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4AF2" w:rsidRPr="00EE6634" w:rsidRDefault="00274AF2" w:rsidP="00D2078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2018年</w:t>
            </w:r>
          </w:p>
        </w:tc>
      </w:tr>
      <w:tr w:rsidR="00274AF2" w:rsidRPr="00EE6634" w:rsidTr="00D20782">
        <w:trPr>
          <w:trHeight w:val="405"/>
          <w:jc w:val="center"/>
        </w:trPr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AF2" w:rsidRPr="00EE6634" w:rsidRDefault="00274AF2" w:rsidP="00D20782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农林牧渔业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4AF2" w:rsidRPr="00EE6634" w:rsidRDefault="00274AF2" w:rsidP="00D2078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663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800</w:t>
            </w:r>
          </w:p>
        </w:tc>
      </w:tr>
      <w:tr w:rsidR="00274AF2" w:rsidRPr="00EE6634" w:rsidTr="00D20782">
        <w:trPr>
          <w:trHeight w:val="405"/>
          <w:jc w:val="center"/>
        </w:trPr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AF2" w:rsidRPr="00EE6634" w:rsidRDefault="00274AF2" w:rsidP="00D20782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lastRenderedPageBreak/>
              <w:t>采矿业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4AF2" w:rsidRPr="00EE6634" w:rsidRDefault="00274AF2" w:rsidP="00D2078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663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274AF2" w:rsidRPr="00EE6634" w:rsidTr="00D20782">
        <w:trPr>
          <w:trHeight w:val="405"/>
          <w:jc w:val="center"/>
        </w:trPr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AF2" w:rsidRPr="00EE6634" w:rsidRDefault="00274AF2" w:rsidP="00D20782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制造业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4AF2" w:rsidRPr="00EE6634" w:rsidRDefault="00274AF2" w:rsidP="00D2078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663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274AF2" w:rsidRPr="00EE6634" w:rsidTr="00D20782">
        <w:trPr>
          <w:trHeight w:val="405"/>
          <w:jc w:val="center"/>
        </w:trPr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AF2" w:rsidRPr="00EE6634" w:rsidRDefault="00274AF2" w:rsidP="00D20782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电力、燃气及水的生产和供应业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4AF2" w:rsidRPr="00EE6634" w:rsidRDefault="00274AF2" w:rsidP="00D2078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663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3114</w:t>
            </w:r>
          </w:p>
        </w:tc>
      </w:tr>
      <w:tr w:rsidR="00274AF2" w:rsidRPr="00EE6634" w:rsidTr="00D20782">
        <w:trPr>
          <w:trHeight w:val="405"/>
          <w:jc w:val="center"/>
        </w:trPr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AF2" w:rsidRPr="00EE6634" w:rsidRDefault="00274AF2" w:rsidP="00D20782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建筑业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4AF2" w:rsidRPr="00EE6634" w:rsidRDefault="00274AF2" w:rsidP="00D2078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663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274AF2" w:rsidRPr="00EE6634" w:rsidTr="00D20782">
        <w:trPr>
          <w:trHeight w:val="405"/>
          <w:jc w:val="center"/>
        </w:trPr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AF2" w:rsidRPr="00EE6634" w:rsidRDefault="00274AF2" w:rsidP="00D20782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批发和零售业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4AF2" w:rsidRPr="00EE6634" w:rsidRDefault="00274AF2" w:rsidP="00D2078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663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274AF2" w:rsidRPr="00EE6634" w:rsidTr="00D20782">
        <w:trPr>
          <w:trHeight w:val="405"/>
          <w:jc w:val="center"/>
        </w:trPr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AF2" w:rsidRPr="00EE6634" w:rsidRDefault="00274AF2" w:rsidP="00D20782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交通运输、仓储及邮政业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4AF2" w:rsidRPr="00EE6634" w:rsidRDefault="00274AF2" w:rsidP="00D2078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663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14642</w:t>
            </w:r>
          </w:p>
        </w:tc>
      </w:tr>
      <w:tr w:rsidR="00274AF2" w:rsidRPr="00EE6634" w:rsidTr="00D20782">
        <w:trPr>
          <w:trHeight w:val="405"/>
          <w:jc w:val="center"/>
        </w:trPr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AF2" w:rsidRPr="00EE6634" w:rsidRDefault="00274AF2" w:rsidP="00D20782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住宿和餐饮业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4AF2" w:rsidRPr="00EE6634" w:rsidRDefault="00274AF2" w:rsidP="00D2078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663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274AF2" w:rsidRPr="00EE6634" w:rsidTr="00D20782">
        <w:trPr>
          <w:trHeight w:val="405"/>
          <w:jc w:val="center"/>
        </w:trPr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AF2" w:rsidRPr="00EE6634" w:rsidRDefault="00274AF2" w:rsidP="00D20782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房地产业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4AF2" w:rsidRPr="00EE6634" w:rsidRDefault="00274AF2" w:rsidP="00D2078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663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13831</w:t>
            </w:r>
          </w:p>
        </w:tc>
      </w:tr>
      <w:tr w:rsidR="00274AF2" w:rsidRPr="00EE6634" w:rsidTr="00D20782">
        <w:trPr>
          <w:trHeight w:val="405"/>
          <w:jc w:val="center"/>
        </w:trPr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AF2" w:rsidRPr="00EE6634" w:rsidRDefault="00274AF2" w:rsidP="00D20782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租赁和商务服务业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4AF2" w:rsidRPr="00EE6634" w:rsidRDefault="00274AF2" w:rsidP="00D2078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663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1162</w:t>
            </w:r>
          </w:p>
        </w:tc>
      </w:tr>
      <w:tr w:rsidR="00274AF2" w:rsidRPr="00EE6634" w:rsidTr="00D20782">
        <w:trPr>
          <w:trHeight w:val="405"/>
          <w:jc w:val="center"/>
        </w:trPr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AF2" w:rsidRPr="00EE6634" w:rsidRDefault="00274AF2" w:rsidP="00D20782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水利、环境和公共设施管理业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4AF2" w:rsidRPr="00EE6634" w:rsidRDefault="00274AF2" w:rsidP="00D2078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663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12437</w:t>
            </w:r>
          </w:p>
        </w:tc>
      </w:tr>
      <w:tr w:rsidR="00274AF2" w:rsidRPr="00EE6634" w:rsidTr="00D20782">
        <w:trPr>
          <w:trHeight w:val="405"/>
          <w:jc w:val="center"/>
        </w:trPr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AF2" w:rsidRPr="00EE6634" w:rsidRDefault="00274AF2" w:rsidP="00D20782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教育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4AF2" w:rsidRPr="00EE6634" w:rsidRDefault="00274AF2" w:rsidP="00D2078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663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274AF2" w:rsidRPr="00EE6634" w:rsidTr="00D20782">
        <w:trPr>
          <w:trHeight w:val="405"/>
          <w:jc w:val="center"/>
        </w:trPr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AF2" w:rsidRPr="00EE6634" w:rsidRDefault="00274AF2" w:rsidP="00D20782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卫生和社会工作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4AF2" w:rsidRPr="00EE6634" w:rsidRDefault="00274AF2" w:rsidP="00D2078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663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274AF2" w:rsidRPr="00EE6634" w:rsidTr="00D20782">
        <w:trPr>
          <w:trHeight w:val="405"/>
          <w:jc w:val="center"/>
        </w:trPr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AF2" w:rsidRPr="00EE6634" w:rsidRDefault="00274AF2" w:rsidP="00D20782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文化、体育和娱乐业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4AF2" w:rsidRPr="00EE6634" w:rsidRDefault="00274AF2" w:rsidP="00D2078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663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13000</w:t>
            </w:r>
          </w:p>
        </w:tc>
      </w:tr>
      <w:tr w:rsidR="00274AF2" w:rsidRPr="00EE6634" w:rsidTr="00D20782">
        <w:trPr>
          <w:trHeight w:val="405"/>
          <w:jc w:val="center"/>
        </w:trPr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AF2" w:rsidRPr="00EE6634" w:rsidRDefault="00274AF2" w:rsidP="00D20782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sz w:val="24"/>
                <w:szCs w:val="24"/>
              </w:rPr>
            </w:pPr>
            <w:r w:rsidRPr="00EE6634">
              <w:rPr>
                <w:rFonts w:ascii="宋体" w:eastAsia="宋体" w:hAnsi="宋体" w:cs="Tahoma" w:hint="eastAsia"/>
                <w:sz w:val="24"/>
                <w:szCs w:val="24"/>
              </w:rPr>
              <w:t>公共管理、社会保障和社会组织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4AF2" w:rsidRPr="00EE6634" w:rsidRDefault="00274AF2" w:rsidP="00D2078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663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1247</w:t>
            </w:r>
          </w:p>
        </w:tc>
      </w:tr>
    </w:tbl>
    <w:p w:rsidR="007569A1" w:rsidRPr="00EE6634" w:rsidRDefault="001B1A4A" w:rsidP="00EE6634">
      <w:pPr>
        <w:wordWrap w:val="0"/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 w:rsidRPr="00EE6634">
        <w:rPr>
          <w:rFonts w:asciiTheme="minorEastAsia" w:eastAsiaTheme="minorEastAsia" w:hAnsiTheme="minorEastAsia" w:hint="eastAsia"/>
          <w:sz w:val="24"/>
          <w:szCs w:val="24"/>
        </w:rPr>
        <w:t xml:space="preserve">单位：万元       </w:t>
      </w:r>
    </w:p>
    <w:p w:rsidR="00274AF2" w:rsidRPr="00EE6634" w:rsidRDefault="00274AF2" w:rsidP="00274AF2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E6634">
        <w:rPr>
          <w:rFonts w:ascii="仿宋" w:eastAsia="仿宋" w:hAnsi="仿宋" w:hint="eastAsia"/>
          <w:sz w:val="32"/>
          <w:szCs w:val="32"/>
        </w:rPr>
        <w:t>全年新开工项目达27个，完成投资49763万元，占全部投资的82.6%；续建项目9个，完成投资额10470万元，占全部投资的17.4%；全年房地产开发投资完成12134万元。</w:t>
      </w:r>
    </w:p>
    <w:p w:rsidR="007569A1" w:rsidRPr="00EE6634" w:rsidRDefault="001B1A4A">
      <w:pPr>
        <w:spacing w:line="360" w:lineRule="auto"/>
        <w:ind w:firstLine="510"/>
        <w:jc w:val="both"/>
        <w:rPr>
          <w:rFonts w:ascii="仿宋" w:eastAsia="仿宋" w:hAnsi="仿宋"/>
          <w:b/>
          <w:sz w:val="32"/>
          <w:szCs w:val="32"/>
        </w:rPr>
      </w:pPr>
      <w:r w:rsidRPr="00EE6634">
        <w:rPr>
          <w:rFonts w:ascii="仿宋" w:eastAsia="仿宋" w:hAnsi="仿宋" w:hint="eastAsia"/>
          <w:b/>
          <w:sz w:val="32"/>
          <w:szCs w:val="32"/>
        </w:rPr>
        <w:t>五、国内贸易</w:t>
      </w:r>
    </w:p>
    <w:p w:rsidR="00150ACF" w:rsidRPr="00EE6634" w:rsidRDefault="00150ACF" w:rsidP="00150ACF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E6634">
        <w:rPr>
          <w:rFonts w:ascii="仿宋" w:eastAsia="仿宋" w:hAnsi="仿宋" w:hint="eastAsia"/>
          <w:sz w:val="32"/>
          <w:szCs w:val="32"/>
        </w:rPr>
        <w:t>全年社会消费品零售总额84208万元，比上年增长5.6%。分行业看，批发零售贸易业零售额59742万元，增长5.1%；住宿和餐饮业零售额24465万元，增长6.7%。</w:t>
      </w:r>
    </w:p>
    <w:p w:rsidR="007569A1" w:rsidRPr="00EE6634" w:rsidRDefault="00580DD4">
      <w:pPr>
        <w:rPr>
          <w:rFonts w:ascii="仿宋" w:eastAsia="仿宋" w:hAnsi="仿宋"/>
          <w:sz w:val="32"/>
          <w:szCs w:val="32"/>
        </w:rPr>
      </w:pPr>
      <w:r w:rsidRPr="00EE6634"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5400040" cy="3089398"/>
            <wp:effectExtent l="19050" t="0" r="10160" b="0"/>
            <wp:docPr id="7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72BF" w:rsidRPr="00EE6634" w:rsidRDefault="003172BF" w:rsidP="00EE6634">
      <w:pPr>
        <w:spacing w:line="360" w:lineRule="auto"/>
        <w:ind w:rightChars="-1" w:right="-2" w:firstLineChars="206" w:firstLine="659"/>
        <w:jc w:val="both"/>
        <w:rPr>
          <w:rFonts w:ascii="仿宋" w:eastAsia="仿宋" w:hAnsi="仿宋"/>
          <w:sz w:val="32"/>
          <w:szCs w:val="32"/>
        </w:rPr>
      </w:pPr>
      <w:r w:rsidRPr="00EE6634">
        <w:rPr>
          <w:rFonts w:ascii="仿宋" w:eastAsia="仿宋" w:hAnsi="仿宋" w:hint="eastAsia"/>
          <w:sz w:val="32"/>
          <w:szCs w:val="32"/>
        </w:rPr>
        <w:t>全年招商引资项目16个，总投资90亿元，到位资金12.1亿元，其中新建项目9个，到位资金11.2亿元，续建项目7个，到位资金0.9亿元。</w:t>
      </w:r>
    </w:p>
    <w:p w:rsidR="007569A1" w:rsidRPr="00EE6634" w:rsidRDefault="001B1A4A">
      <w:pPr>
        <w:spacing w:line="360" w:lineRule="auto"/>
        <w:ind w:firstLine="510"/>
        <w:jc w:val="both"/>
        <w:rPr>
          <w:rFonts w:ascii="仿宋" w:eastAsia="仿宋" w:hAnsi="仿宋"/>
          <w:b/>
          <w:sz w:val="32"/>
          <w:szCs w:val="32"/>
        </w:rPr>
      </w:pPr>
      <w:r w:rsidRPr="00EE6634">
        <w:rPr>
          <w:rFonts w:ascii="仿宋" w:eastAsia="仿宋" w:hAnsi="仿宋" w:hint="eastAsia"/>
          <w:b/>
          <w:sz w:val="32"/>
          <w:szCs w:val="32"/>
        </w:rPr>
        <w:t>六、交通、邮电和旅游业</w:t>
      </w:r>
    </w:p>
    <w:p w:rsidR="007569A1" w:rsidRPr="00EE6634" w:rsidRDefault="001B1A4A">
      <w:pPr>
        <w:spacing w:line="360" w:lineRule="auto"/>
        <w:ind w:rightChars="-1" w:right="-2" w:firstLineChars="206" w:firstLine="659"/>
        <w:jc w:val="both"/>
        <w:rPr>
          <w:rFonts w:ascii="仿宋" w:eastAsia="仿宋" w:hAnsi="仿宋"/>
          <w:sz w:val="32"/>
          <w:szCs w:val="32"/>
        </w:rPr>
      </w:pPr>
      <w:r w:rsidRPr="00EE6634">
        <w:rPr>
          <w:rFonts w:ascii="仿宋" w:eastAsia="仿宋" w:hAnsi="仿宋" w:hint="eastAsia"/>
          <w:sz w:val="32"/>
          <w:szCs w:val="32"/>
        </w:rPr>
        <w:t>邮电通信各部门全年邮电业务收入</w:t>
      </w:r>
      <w:r w:rsidR="00A359A5" w:rsidRPr="00EE6634">
        <w:rPr>
          <w:rFonts w:ascii="仿宋" w:eastAsia="仿宋" w:hAnsi="仿宋" w:hint="eastAsia"/>
          <w:sz w:val="32"/>
          <w:szCs w:val="32"/>
        </w:rPr>
        <w:t>5028</w:t>
      </w:r>
      <w:r w:rsidRPr="00EE6634">
        <w:rPr>
          <w:rFonts w:ascii="仿宋" w:eastAsia="仿宋" w:hAnsi="仿宋" w:hint="eastAsia"/>
          <w:sz w:val="32"/>
          <w:szCs w:val="32"/>
        </w:rPr>
        <w:t>万元，</w:t>
      </w:r>
      <w:r w:rsidR="00A359A5" w:rsidRPr="00EE6634">
        <w:rPr>
          <w:rFonts w:ascii="仿宋" w:eastAsia="仿宋" w:hAnsi="仿宋" w:hint="eastAsia"/>
          <w:sz w:val="32"/>
          <w:szCs w:val="32"/>
        </w:rPr>
        <w:t>下降8.1</w:t>
      </w:r>
      <w:r w:rsidRPr="00EE6634">
        <w:rPr>
          <w:rFonts w:ascii="仿宋" w:eastAsia="仿宋" w:hAnsi="仿宋" w:hint="eastAsia"/>
          <w:sz w:val="32"/>
          <w:szCs w:val="32"/>
        </w:rPr>
        <w:t>%。年末本地固定电话用户</w:t>
      </w:r>
      <w:r w:rsidR="00A359A5" w:rsidRPr="00EE6634">
        <w:rPr>
          <w:rFonts w:ascii="仿宋" w:eastAsia="仿宋" w:hAnsi="仿宋" w:hint="eastAsia"/>
          <w:sz w:val="32"/>
          <w:szCs w:val="32"/>
        </w:rPr>
        <w:t>3820</w:t>
      </w:r>
      <w:r w:rsidRPr="00EE6634">
        <w:rPr>
          <w:rFonts w:ascii="仿宋" w:eastAsia="仿宋" w:hAnsi="仿宋" w:hint="eastAsia"/>
          <w:sz w:val="32"/>
          <w:szCs w:val="32"/>
        </w:rPr>
        <w:t>户，增长</w:t>
      </w:r>
      <w:r w:rsidR="00A359A5" w:rsidRPr="00EE6634">
        <w:rPr>
          <w:rFonts w:ascii="仿宋" w:eastAsia="仿宋" w:hAnsi="仿宋" w:hint="eastAsia"/>
          <w:sz w:val="32"/>
          <w:szCs w:val="32"/>
        </w:rPr>
        <w:t>3</w:t>
      </w:r>
      <w:r w:rsidRPr="00EE6634">
        <w:rPr>
          <w:rFonts w:ascii="仿宋" w:eastAsia="仿宋" w:hAnsi="仿宋" w:hint="eastAsia"/>
          <w:sz w:val="32"/>
          <w:szCs w:val="32"/>
        </w:rPr>
        <w:t>%；移动电话用户达</w:t>
      </w:r>
      <w:r w:rsidR="00A359A5" w:rsidRPr="00EE6634">
        <w:rPr>
          <w:rFonts w:ascii="仿宋" w:eastAsia="仿宋" w:hAnsi="仿宋" w:hint="eastAsia"/>
          <w:sz w:val="32"/>
          <w:szCs w:val="32"/>
        </w:rPr>
        <w:t>52216</w:t>
      </w:r>
      <w:r w:rsidRPr="00EE6634">
        <w:rPr>
          <w:rFonts w:ascii="仿宋" w:eastAsia="仿宋" w:hAnsi="仿宋" w:hint="eastAsia"/>
          <w:sz w:val="32"/>
          <w:szCs w:val="32"/>
        </w:rPr>
        <w:t>户,</w:t>
      </w:r>
      <w:r w:rsidR="00A359A5" w:rsidRPr="00EE6634">
        <w:rPr>
          <w:rFonts w:ascii="仿宋" w:eastAsia="仿宋" w:hAnsi="仿宋" w:hint="eastAsia"/>
          <w:sz w:val="32"/>
          <w:szCs w:val="32"/>
        </w:rPr>
        <w:t>下降5.3</w:t>
      </w:r>
      <w:r w:rsidRPr="00EE6634">
        <w:rPr>
          <w:rFonts w:ascii="仿宋" w:eastAsia="仿宋" w:hAnsi="仿宋" w:hint="eastAsia"/>
          <w:sz w:val="32"/>
          <w:szCs w:val="32"/>
        </w:rPr>
        <w:t>%；互联网用户</w:t>
      </w:r>
      <w:r w:rsidR="00A359A5" w:rsidRPr="00EE6634">
        <w:rPr>
          <w:rFonts w:ascii="仿宋" w:eastAsia="仿宋" w:hAnsi="仿宋" w:hint="eastAsia"/>
          <w:sz w:val="32"/>
          <w:szCs w:val="32"/>
        </w:rPr>
        <w:t>9528</w:t>
      </w:r>
      <w:r w:rsidRPr="00EE6634">
        <w:rPr>
          <w:rFonts w:ascii="仿宋" w:eastAsia="仿宋" w:hAnsi="仿宋" w:hint="eastAsia"/>
          <w:sz w:val="32"/>
          <w:szCs w:val="32"/>
        </w:rPr>
        <w:t>户，增长</w:t>
      </w:r>
      <w:r w:rsidR="00A359A5" w:rsidRPr="00EE6634">
        <w:rPr>
          <w:rFonts w:ascii="仿宋" w:eastAsia="仿宋" w:hAnsi="仿宋" w:hint="eastAsia"/>
          <w:sz w:val="32"/>
          <w:szCs w:val="32"/>
        </w:rPr>
        <w:t>1.5</w:t>
      </w:r>
      <w:r w:rsidRPr="00EE6634">
        <w:rPr>
          <w:rFonts w:ascii="仿宋" w:eastAsia="仿宋" w:hAnsi="仿宋" w:hint="eastAsia"/>
          <w:sz w:val="32"/>
          <w:szCs w:val="32"/>
        </w:rPr>
        <w:t>%。</w:t>
      </w:r>
    </w:p>
    <w:p w:rsidR="007569A1" w:rsidRPr="00EE6634" w:rsidRDefault="001B1A4A" w:rsidP="0044184B">
      <w:pPr>
        <w:spacing w:line="360" w:lineRule="auto"/>
        <w:ind w:rightChars="-1" w:right="-2" w:firstLineChars="206" w:firstLine="659"/>
        <w:jc w:val="both"/>
        <w:rPr>
          <w:rFonts w:ascii="仿宋" w:eastAsia="仿宋" w:hAnsi="仿宋"/>
          <w:sz w:val="32"/>
          <w:szCs w:val="32"/>
        </w:rPr>
      </w:pPr>
      <w:r w:rsidRPr="00EE6634">
        <w:rPr>
          <w:rFonts w:ascii="仿宋" w:eastAsia="仿宋" w:hAnsi="仿宋" w:hint="eastAsia"/>
          <w:sz w:val="32"/>
          <w:szCs w:val="32"/>
        </w:rPr>
        <w:t>全年游客接待量突破</w:t>
      </w:r>
      <w:r w:rsidR="005002FB" w:rsidRPr="00EE6634">
        <w:rPr>
          <w:rFonts w:ascii="仿宋" w:eastAsia="仿宋" w:hAnsi="仿宋" w:hint="eastAsia"/>
          <w:sz w:val="32"/>
          <w:szCs w:val="32"/>
        </w:rPr>
        <w:t>400</w:t>
      </w:r>
      <w:r w:rsidRPr="00EE6634">
        <w:rPr>
          <w:rFonts w:ascii="仿宋" w:eastAsia="仿宋" w:hAnsi="仿宋" w:hint="eastAsia"/>
          <w:sz w:val="32"/>
          <w:szCs w:val="32"/>
        </w:rPr>
        <w:t>万人次，为</w:t>
      </w:r>
      <w:r w:rsidR="005002FB" w:rsidRPr="00EE6634">
        <w:rPr>
          <w:rFonts w:ascii="仿宋" w:eastAsia="仿宋" w:hAnsi="仿宋" w:hint="eastAsia"/>
          <w:sz w:val="32"/>
          <w:szCs w:val="32"/>
        </w:rPr>
        <w:t>431.9</w:t>
      </w:r>
      <w:r w:rsidRPr="00EE6634">
        <w:rPr>
          <w:rFonts w:ascii="仿宋" w:eastAsia="仿宋" w:hAnsi="仿宋" w:hint="eastAsia"/>
          <w:sz w:val="32"/>
          <w:szCs w:val="32"/>
        </w:rPr>
        <w:t>万人次，比上年增长</w:t>
      </w:r>
      <w:r w:rsidR="005002FB" w:rsidRPr="00EE6634">
        <w:rPr>
          <w:rFonts w:ascii="仿宋" w:eastAsia="仿宋" w:hAnsi="仿宋" w:hint="eastAsia"/>
          <w:sz w:val="32"/>
          <w:szCs w:val="32"/>
        </w:rPr>
        <w:t>19</w:t>
      </w:r>
      <w:r w:rsidRPr="00EE6634">
        <w:rPr>
          <w:rFonts w:ascii="仿宋" w:eastAsia="仿宋" w:hAnsi="仿宋" w:hint="eastAsia"/>
          <w:sz w:val="32"/>
          <w:szCs w:val="32"/>
        </w:rPr>
        <w:t>%；全年实现旅游收入</w:t>
      </w:r>
      <w:r w:rsidR="005002FB" w:rsidRPr="00EE6634">
        <w:rPr>
          <w:rFonts w:ascii="仿宋" w:eastAsia="仿宋" w:hAnsi="仿宋" w:hint="eastAsia"/>
          <w:sz w:val="32"/>
          <w:szCs w:val="32"/>
        </w:rPr>
        <w:t>52.7</w:t>
      </w:r>
      <w:r w:rsidRPr="00EE6634">
        <w:rPr>
          <w:rFonts w:ascii="仿宋" w:eastAsia="仿宋" w:hAnsi="仿宋" w:hint="eastAsia"/>
          <w:sz w:val="32"/>
          <w:szCs w:val="32"/>
        </w:rPr>
        <w:t>亿元，比上年增长</w:t>
      </w:r>
      <w:r w:rsidR="005002FB" w:rsidRPr="00EE6634">
        <w:rPr>
          <w:rFonts w:ascii="仿宋" w:eastAsia="仿宋" w:hAnsi="仿宋" w:hint="eastAsia"/>
          <w:sz w:val="32"/>
          <w:szCs w:val="32"/>
        </w:rPr>
        <w:t>20</w:t>
      </w:r>
      <w:r w:rsidRPr="00EE6634">
        <w:rPr>
          <w:rFonts w:ascii="仿宋" w:eastAsia="仿宋" w:hAnsi="仿宋" w:hint="eastAsia"/>
          <w:sz w:val="32"/>
          <w:szCs w:val="32"/>
        </w:rPr>
        <w:t>%。市旅游星级宾馆两家，旅游接待能力达20809张标准床位；直接间接从事旅游业人数近4</w:t>
      </w:r>
      <w:r w:rsidR="005A37F9" w:rsidRPr="00EE6634">
        <w:rPr>
          <w:rFonts w:ascii="仿宋" w:eastAsia="仿宋" w:hAnsi="仿宋" w:hint="eastAsia"/>
          <w:sz w:val="32"/>
          <w:szCs w:val="32"/>
        </w:rPr>
        <w:t>3</w:t>
      </w:r>
      <w:r w:rsidRPr="00EE6634">
        <w:rPr>
          <w:rFonts w:ascii="仿宋" w:eastAsia="仿宋" w:hAnsi="仿宋" w:hint="eastAsia"/>
          <w:sz w:val="32"/>
          <w:szCs w:val="32"/>
        </w:rPr>
        <w:t>000人，其中，直接从业人员达到14000余人；现有旅行社32家，旅游纪念品商店</w:t>
      </w:r>
      <w:r w:rsidR="00E31980" w:rsidRPr="00EE6634">
        <w:rPr>
          <w:noProof/>
        </w:rPr>
        <w:lastRenderedPageBreak/>
        <w:drawing>
          <wp:inline distT="0" distB="0" distL="0" distR="0">
            <wp:extent cx="5400040" cy="2924397"/>
            <wp:effectExtent l="19050" t="0" r="10160" b="9303"/>
            <wp:docPr id="1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EE6634">
        <w:rPr>
          <w:rFonts w:ascii="仿宋" w:eastAsia="仿宋" w:hAnsi="仿宋" w:hint="eastAsia"/>
          <w:sz w:val="32"/>
          <w:szCs w:val="32"/>
        </w:rPr>
        <w:t>120家。</w:t>
      </w:r>
      <w:bookmarkStart w:id="0" w:name="_GoBack"/>
      <w:bookmarkEnd w:id="0"/>
    </w:p>
    <w:p w:rsidR="007569A1" w:rsidRPr="00EE6634" w:rsidRDefault="001B1A4A">
      <w:pPr>
        <w:spacing w:line="360" w:lineRule="auto"/>
        <w:ind w:rightChars="-1" w:right="-2" w:firstLineChars="206" w:firstLine="659"/>
        <w:jc w:val="both"/>
        <w:rPr>
          <w:rFonts w:ascii="仿宋" w:eastAsia="仿宋" w:hAnsi="仿宋"/>
          <w:sz w:val="32"/>
          <w:szCs w:val="32"/>
        </w:rPr>
      </w:pPr>
      <w:r w:rsidRPr="00EE6634">
        <w:rPr>
          <w:rFonts w:ascii="仿宋" w:eastAsia="仿宋" w:hAnsi="仿宋" w:hint="eastAsia"/>
          <w:sz w:val="32"/>
          <w:szCs w:val="32"/>
        </w:rPr>
        <w:t>全年机场累计运营</w:t>
      </w:r>
      <w:r w:rsidR="00A230F5" w:rsidRPr="00EE6634">
        <w:rPr>
          <w:rFonts w:ascii="仿宋" w:eastAsia="仿宋" w:hAnsi="仿宋" w:hint="eastAsia"/>
          <w:sz w:val="32"/>
          <w:szCs w:val="32"/>
        </w:rPr>
        <w:t>6</w:t>
      </w:r>
      <w:r w:rsidRPr="00EE6634">
        <w:rPr>
          <w:rFonts w:ascii="仿宋" w:eastAsia="仿宋" w:hAnsi="仿宋" w:hint="eastAsia"/>
          <w:sz w:val="32"/>
          <w:szCs w:val="32"/>
        </w:rPr>
        <w:t>条航线，飞机起降</w:t>
      </w:r>
      <w:r w:rsidR="00A230F5" w:rsidRPr="00EE6634">
        <w:rPr>
          <w:rFonts w:ascii="仿宋" w:eastAsia="仿宋" w:hAnsi="仿宋" w:hint="eastAsia"/>
          <w:sz w:val="32"/>
          <w:szCs w:val="32"/>
        </w:rPr>
        <w:t>1956</w:t>
      </w:r>
      <w:r w:rsidRPr="00EE6634">
        <w:rPr>
          <w:rFonts w:ascii="仿宋" w:eastAsia="仿宋" w:hAnsi="仿宋" w:hint="eastAsia"/>
          <w:sz w:val="32"/>
          <w:szCs w:val="32"/>
        </w:rPr>
        <w:t>架次，</w:t>
      </w:r>
      <w:r w:rsidR="00A230F5" w:rsidRPr="00EE6634">
        <w:rPr>
          <w:rFonts w:ascii="仿宋" w:eastAsia="仿宋" w:hAnsi="仿宋" w:hint="eastAsia"/>
          <w:sz w:val="32"/>
          <w:szCs w:val="32"/>
        </w:rPr>
        <w:t>同比下降29.1</w:t>
      </w:r>
      <w:r w:rsidRPr="00EE6634">
        <w:rPr>
          <w:rFonts w:ascii="仿宋" w:eastAsia="仿宋" w:hAnsi="仿宋" w:hint="eastAsia"/>
          <w:sz w:val="32"/>
          <w:szCs w:val="32"/>
        </w:rPr>
        <w:t>%；旅客吞吐量达到</w:t>
      </w:r>
      <w:r w:rsidR="00A230F5" w:rsidRPr="00EE6634">
        <w:rPr>
          <w:rFonts w:ascii="仿宋" w:eastAsia="仿宋" w:hAnsi="仿宋" w:hint="eastAsia"/>
          <w:sz w:val="32"/>
          <w:szCs w:val="32"/>
        </w:rPr>
        <w:t>10.4</w:t>
      </w:r>
      <w:r w:rsidRPr="00EE6634">
        <w:rPr>
          <w:rFonts w:ascii="仿宋" w:eastAsia="仿宋" w:hAnsi="仿宋" w:hint="eastAsia"/>
          <w:sz w:val="32"/>
          <w:szCs w:val="32"/>
        </w:rPr>
        <w:t>万人次，</w:t>
      </w:r>
      <w:r w:rsidR="00A230F5" w:rsidRPr="00EE6634">
        <w:rPr>
          <w:rFonts w:ascii="仿宋" w:eastAsia="仿宋" w:hAnsi="仿宋" w:hint="eastAsia"/>
          <w:sz w:val="32"/>
          <w:szCs w:val="32"/>
        </w:rPr>
        <w:t>同比下降33.1</w:t>
      </w:r>
      <w:r w:rsidRPr="00EE6634">
        <w:rPr>
          <w:rFonts w:ascii="仿宋" w:eastAsia="仿宋" w:hAnsi="仿宋" w:hint="eastAsia"/>
          <w:sz w:val="32"/>
          <w:szCs w:val="32"/>
        </w:rPr>
        <w:t>%。</w:t>
      </w:r>
    </w:p>
    <w:p w:rsidR="007569A1" w:rsidRPr="00EE6634" w:rsidRDefault="001B1A4A">
      <w:pPr>
        <w:spacing w:line="360" w:lineRule="auto"/>
        <w:ind w:rightChars="-1" w:right="-2" w:firstLineChars="206" w:firstLine="659"/>
        <w:jc w:val="both"/>
        <w:rPr>
          <w:rFonts w:ascii="仿宋" w:eastAsia="仿宋" w:hAnsi="仿宋"/>
          <w:sz w:val="32"/>
          <w:szCs w:val="32"/>
        </w:rPr>
      </w:pPr>
      <w:r w:rsidRPr="00EE6634">
        <w:rPr>
          <w:rFonts w:ascii="仿宋" w:eastAsia="仿宋" w:hAnsi="仿宋" w:cs="仿宋" w:hint="eastAsia"/>
          <w:bCs/>
          <w:sz w:val="32"/>
          <w:szCs w:val="32"/>
        </w:rPr>
        <w:t>全年中蒙阿尔山—松贝尔口岸开关时间由</w:t>
      </w:r>
      <w:r w:rsidR="00BE74C8" w:rsidRPr="00EE6634">
        <w:rPr>
          <w:rFonts w:ascii="仿宋" w:eastAsia="仿宋" w:hAnsi="仿宋" w:cs="仿宋" w:hint="eastAsia"/>
          <w:bCs/>
          <w:sz w:val="32"/>
          <w:szCs w:val="32"/>
        </w:rPr>
        <w:t>4</w:t>
      </w:r>
      <w:r w:rsidRPr="00EE6634">
        <w:rPr>
          <w:rFonts w:ascii="仿宋" w:eastAsia="仿宋" w:hAnsi="仿宋" w:cs="仿宋" w:hint="eastAsia"/>
          <w:bCs/>
          <w:sz w:val="32"/>
          <w:szCs w:val="32"/>
        </w:rPr>
        <w:t>月初至11月末，</w:t>
      </w:r>
      <w:r w:rsidRPr="00EE6634">
        <w:rPr>
          <w:rFonts w:ascii="仿宋" w:eastAsia="仿宋" w:hAnsi="仿宋"/>
          <w:sz w:val="32"/>
          <w:szCs w:val="32"/>
        </w:rPr>
        <w:t>累计出入境</w:t>
      </w:r>
      <w:r w:rsidRPr="00EE6634">
        <w:rPr>
          <w:rFonts w:ascii="仿宋" w:eastAsia="仿宋" w:hAnsi="仿宋" w:hint="eastAsia"/>
          <w:sz w:val="32"/>
          <w:szCs w:val="32"/>
        </w:rPr>
        <w:t>人员</w:t>
      </w:r>
      <w:r w:rsidR="00BE74C8" w:rsidRPr="00EE6634">
        <w:rPr>
          <w:rFonts w:ascii="仿宋" w:eastAsia="仿宋" w:hAnsi="仿宋" w:hint="eastAsia"/>
          <w:sz w:val="32"/>
          <w:szCs w:val="32"/>
        </w:rPr>
        <w:t>3039</w:t>
      </w:r>
      <w:r w:rsidRPr="00EE6634">
        <w:rPr>
          <w:rFonts w:ascii="仿宋" w:eastAsia="仿宋" w:hAnsi="仿宋"/>
          <w:sz w:val="32"/>
          <w:szCs w:val="32"/>
        </w:rPr>
        <w:t>人次、</w:t>
      </w:r>
      <w:r w:rsidRPr="00EE6634">
        <w:rPr>
          <w:rFonts w:ascii="仿宋" w:eastAsia="仿宋" w:hAnsi="仿宋" w:hint="eastAsia"/>
          <w:sz w:val="32"/>
          <w:szCs w:val="32"/>
        </w:rPr>
        <w:t>车辆</w:t>
      </w:r>
      <w:r w:rsidR="00BE74C8" w:rsidRPr="00EE6634">
        <w:rPr>
          <w:rFonts w:ascii="仿宋" w:eastAsia="仿宋" w:hAnsi="仿宋" w:hint="eastAsia"/>
          <w:sz w:val="32"/>
          <w:szCs w:val="32"/>
        </w:rPr>
        <w:t>1178</w:t>
      </w:r>
      <w:r w:rsidRPr="00EE6634">
        <w:rPr>
          <w:rFonts w:ascii="仿宋" w:eastAsia="仿宋" w:hAnsi="仿宋" w:hint="eastAsia"/>
          <w:sz w:val="32"/>
          <w:szCs w:val="32"/>
        </w:rPr>
        <w:t>辆</w:t>
      </w:r>
      <w:r w:rsidRPr="00EE6634">
        <w:rPr>
          <w:rFonts w:ascii="仿宋" w:eastAsia="仿宋" w:hAnsi="仿宋"/>
          <w:sz w:val="32"/>
          <w:szCs w:val="32"/>
        </w:rPr>
        <w:t>次</w:t>
      </w:r>
      <w:r w:rsidRPr="00EE6634">
        <w:rPr>
          <w:rFonts w:ascii="仿宋" w:eastAsia="仿宋" w:hAnsi="仿宋" w:hint="eastAsia"/>
          <w:sz w:val="32"/>
          <w:szCs w:val="32"/>
        </w:rPr>
        <w:t>，</w:t>
      </w:r>
      <w:r w:rsidRPr="00EE6634">
        <w:rPr>
          <w:rFonts w:ascii="仿宋" w:eastAsia="仿宋" w:hAnsi="仿宋"/>
          <w:sz w:val="32"/>
          <w:szCs w:val="32"/>
        </w:rPr>
        <w:t>分别</w:t>
      </w:r>
      <w:r w:rsidRPr="00EE6634">
        <w:rPr>
          <w:rFonts w:ascii="仿宋" w:eastAsia="仿宋" w:hAnsi="仿宋" w:hint="eastAsia"/>
          <w:sz w:val="32"/>
          <w:szCs w:val="32"/>
        </w:rPr>
        <w:t>增长</w:t>
      </w:r>
      <w:r w:rsidR="00BE74C8" w:rsidRPr="00EE6634">
        <w:rPr>
          <w:rFonts w:ascii="仿宋" w:eastAsia="仿宋" w:hAnsi="仿宋" w:hint="eastAsia"/>
          <w:sz w:val="32"/>
          <w:szCs w:val="32"/>
        </w:rPr>
        <w:t>28.7</w:t>
      </w:r>
      <w:r w:rsidRPr="00EE6634">
        <w:rPr>
          <w:rFonts w:ascii="仿宋" w:eastAsia="仿宋" w:hAnsi="仿宋"/>
          <w:sz w:val="32"/>
          <w:szCs w:val="32"/>
        </w:rPr>
        <w:t>%</w:t>
      </w:r>
      <w:r w:rsidRPr="00EE6634">
        <w:rPr>
          <w:rFonts w:ascii="仿宋" w:eastAsia="仿宋" w:hAnsi="仿宋" w:hint="eastAsia"/>
          <w:sz w:val="32"/>
          <w:szCs w:val="32"/>
        </w:rPr>
        <w:t>、</w:t>
      </w:r>
      <w:r w:rsidR="00BE74C8" w:rsidRPr="00EE6634">
        <w:rPr>
          <w:rFonts w:ascii="仿宋" w:eastAsia="仿宋" w:hAnsi="仿宋" w:hint="eastAsia"/>
          <w:sz w:val="32"/>
          <w:szCs w:val="32"/>
        </w:rPr>
        <w:t>44.5</w:t>
      </w:r>
      <w:r w:rsidRPr="00EE6634">
        <w:rPr>
          <w:rFonts w:ascii="仿宋" w:eastAsia="仿宋" w:hAnsi="仿宋"/>
          <w:sz w:val="32"/>
          <w:szCs w:val="32"/>
        </w:rPr>
        <w:t>%。</w:t>
      </w:r>
    </w:p>
    <w:p w:rsidR="007569A1" w:rsidRPr="00EE6634" w:rsidRDefault="001B1A4A">
      <w:pPr>
        <w:spacing w:line="360" w:lineRule="auto"/>
        <w:ind w:rightChars="-1" w:right="-2" w:firstLineChars="206" w:firstLine="662"/>
        <w:jc w:val="both"/>
        <w:rPr>
          <w:rFonts w:ascii="仿宋" w:eastAsia="仿宋" w:hAnsi="仿宋"/>
          <w:b/>
          <w:sz w:val="32"/>
          <w:szCs w:val="32"/>
        </w:rPr>
      </w:pPr>
      <w:r w:rsidRPr="00EE6634">
        <w:rPr>
          <w:rFonts w:ascii="仿宋" w:eastAsia="仿宋" w:hAnsi="仿宋" w:hint="eastAsia"/>
          <w:b/>
          <w:sz w:val="32"/>
          <w:szCs w:val="32"/>
        </w:rPr>
        <w:t>七、金融和保险业</w:t>
      </w:r>
    </w:p>
    <w:p w:rsidR="007569A1" w:rsidRPr="00EE6634" w:rsidRDefault="001B1A4A">
      <w:pPr>
        <w:spacing w:line="360" w:lineRule="auto"/>
        <w:ind w:rightChars="-1" w:right="-2" w:firstLineChars="206" w:firstLine="659"/>
        <w:jc w:val="both"/>
        <w:rPr>
          <w:rFonts w:ascii="仿宋" w:eastAsia="仿宋" w:hAnsi="仿宋"/>
          <w:sz w:val="32"/>
          <w:szCs w:val="32"/>
        </w:rPr>
      </w:pPr>
      <w:r w:rsidRPr="00EE6634">
        <w:rPr>
          <w:rFonts w:ascii="仿宋" w:eastAsia="仿宋" w:hAnsi="仿宋" w:hint="eastAsia"/>
          <w:sz w:val="32"/>
          <w:szCs w:val="32"/>
        </w:rPr>
        <w:t>年末全市金融机构各项人民币存款余额</w:t>
      </w:r>
      <w:r w:rsidR="00BE74C8" w:rsidRPr="00EE6634">
        <w:rPr>
          <w:rFonts w:ascii="仿宋" w:eastAsia="仿宋" w:hAnsi="仿宋"/>
          <w:sz w:val="32"/>
          <w:szCs w:val="32"/>
        </w:rPr>
        <w:t>436236</w:t>
      </w:r>
      <w:r w:rsidRPr="00EE6634">
        <w:rPr>
          <w:rFonts w:ascii="仿宋" w:eastAsia="仿宋" w:hAnsi="仿宋" w:hint="eastAsia"/>
          <w:sz w:val="32"/>
          <w:szCs w:val="32"/>
        </w:rPr>
        <w:t>万元，</w:t>
      </w:r>
      <w:r w:rsidR="00BE74C8" w:rsidRPr="00EE6634">
        <w:rPr>
          <w:rFonts w:ascii="仿宋" w:eastAsia="仿宋" w:hAnsi="仿宋" w:hint="eastAsia"/>
          <w:sz w:val="32"/>
          <w:szCs w:val="32"/>
        </w:rPr>
        <w:t>同比增长4.6</w:t>
      </w:r>
      <w:r w:rsidRPr="00EE6634">
        <w:rPr>
          <w:rFonts w:ascii="仿宋" w:eastAsia="仿宋" w:hAnsi="仿宋" w:hint="eastAsia"/>
          <w:sz w:val="32"/>
          <w:szCs w:val="32"/>
        </w:rPr>
        <w:t>%。其中，住户存款余额</w:t>
      </w:r>
      <w:r w:rsidR="00BE74C8" w:rsidRPr="00EE6634">
        <w:rPr>
          <w:rFonts w:ascii="仿宋" w:eastAsia="仿宋" w:hAnsi="仿宋"/>
          <w:sz w:val="32"/>
          <w:szCs w:val="32"/>
        </w:rPr>
        <w:t>170835</w:t>
      </w:r>
      <w:r w:rsidRPr="00EE6634">
        <w:rPr>
          <w:rFonts w:ascii="仿宋" w:eastAsia="仿宋" w:hAnsi="仿宋" w:hint="eastAsia"/>
          <w:sz w:val="32"/>
          <w:szCs w:val="32"/>
        </w:rPr>
        <w:t>万元，</w:t>
      </w:r>
      <w:r w:rsidR="00BE74C8" w:rsidRPr="00EE6634">
        <w:rPr>
          <w:rFonts w:ascii="仿宋" w:eastAsia="仿宋" w:hAnsi="仿宋" w:hint="eastAsia"/>
          <w:sz w:val="32"/>
          <w:szCs w:val="32"/>
        </w:rPr>
        <w:t>同比增长16.8</w:t>
      </w:r>
      <w:r w:rsidRPr="00EE6634">
        <w:rPr>
          <w:rFonts w:ascii="仿宋" w:eastAsia="仿宋" w:hAnsi="仿宋" w:hint="eastAsia"/>
          <w:sz w:val="32"/>
          <w:szCs w:val="32"/>
        </w:rPr>
        <w:t>%；非金融企业存款余额</w:t>
      </w:r>
      <w:r w:rsidR="00BE74C8" w:rsidRPr="00EE6634">
        <w:rPr>
          <w:rFonts w:ascii="仿宋" w:eastAsia="仿宋" w:hAnsi="仿宋"/>
          <w:sz w:val="32"/>
          <w:szCs w:val="32"/>
        </w:rPr>
        <w:t>132309</w:t>
      </w:r>
      <w:r w:rsidRPr="00EE6634">
        <w:rPr>
          <w:rFonts w:ascii="仿宋" w:eastAsia="仿宋" w:hAnsi="仿宋" w:hint="eastAsia"/>
          <w:sz w:val="32"/>
          <w:szCs w:val="32"/>
        </w:rPr>
        <w:t>万元。年末全市金融机构各项人民币贷款余额</w:t>
      </w:r>
      <w:r w:rsidR="00BE74C8" w:rsidRPr="00EE6634">
        <w:rPr>
          <w:rFonts w:ascii="仿宋" w:eastAsia="仿宋" w:hAnsi="仿宋"/>
          <w:sz w:val="32"/>
          <w:szCs w:val="32"/>
        </w:rPr>
        <w:t>415704</w:t>
      </w:r>
      <w:r w:rsidRPr="00EE6634">
        <w:rPr>
          <w:rFonts w:ascii="仿宋" w:eastAsia="仿宋" w:hAnsi="仿宋" w:hint="eastAsia"/>
          <w:sz w:val="32"/>
          <w:szCs w:val="32"/>
        </w:rPr>
        <w:t>万元，比上年增长</w:t>
      </w:r>
      <w:r w:rsidR="00BE74C8" w:rsidRPr="00EE6634">
        <w:rPr>
          <w:rFonts w:ascii="仿宋" w:eastAsia="仿宋" w:hAnsi="仿宋" w:hint="eastAsia"/>
          <w:sz w:val="32"/>
          <w:szCs w:val="32"/>
        </w:rPr>
        <w:t>11</w:t>
      </w:r>
      <w:r w:rsidRPr="00EE6634">
        <w:rPr>
          <w:rFonts w:ascii="仿宋" w:eastAsia="仿宋" w:hAnsi="仿宋" w:hint="eastAsia"/>
          <w:sz w:val="32"/>
          <w:szCs w:val="32"/>
        </w:rPr>
        <w:t>.1%，其</w:t>
      </w:r>
      <w:r w:rsidRPr="00EE6634">
        <w:rPr>
          <w:rFonts w:ascii="仿宋" w:eastAsia="仿宋" w:hAnsi="仿宋" w:hint="eastAsia"/>
          <w:sz w:val="32"/>
          <w:szCs w:val="32"/>
        </w:rPr>
        <w:lastRenderedPageBreak/>
        <w:t>中，住户贷款余额</w:t>
      </w:r>
      <w:r w:rsidR="00BE74C8" w:rsidRPr="00EE6634">
        <w:rPr>
          <w:rFonts w:ascii="仿宋" w:eastAsia="仿宋" w:hAnsi="仿宋"/>
          <w:sz w:val="32"/>
          <w:szCs w:val="32"/>
        </w:rPr>
        <w:t>101450</w:t>
      </w:r>
      <w:r w:rsidRPr="00EE6634">
        <w:rPr>
          <w:rFonts w:ascii="仿宋" w:eastAsia="仿宋" w:hAnsi="仿宋" w:hint="eastAsia"/>
          <w:sz w:val="32"/>
          <w:szCs w:val="32"/>
        </w:rPr>
        <w:t>万元；非金融企业及机关团体贷款余额</w:t>
      </w:r>
      <w:r w:rsidR="00BE74C8" w:rsidRPr="00EE6634">
        <w:rPr>
          <w:rFonts w:ascii="仿宋" w:eastAsia="仿宋" w:hAnsi="仿宋"/>
          <w:sz w:val="32"/>
          <w:szCs w:val="32"/>
        </w:rPr>
        <w:t>314254</w:t>
      </w:r>
      <w:r w:rsidRPr="00EE6634">
        <w:rPr>
          <w:rFonts w:ascii="仿宋" w:eastAsia="仿宋" w:hAnsi="仿宋" w:hint="eastAsia"/>
          <w:sz w:val="32"/>
          <w:szCs w:val="32"/>
        </w:rPr>
        <w:t>万元。</w:t>
      </w:r>
    </w:p>
    <w:p w:rsidR="007569A1" w:rsidRPr="00EE6634" w:rsidRDefault="001B1A4A">
      <w:pPr>
        <w:spacing w:line="360" w:lineRule="auto"/>
        <w:ind w:rightChars="-1" w:right="-2" w:firstLineChars="206" w:firstLine="659"/>
        <w:jc w:val="both"/>
        <w:rPr>
          <w:rFonts w:ascii="仿宋" w:eastAsia="仿宋" w:hAnsi="仿宋"/>
          <w:sz w:val="32"/>
          <w:szCs w:val="32"/>
        </w:rPr>
      </w:pPr>
      <w:r w:rsidRPr="00EE6634">
        <w:rPr>
          <w:rFonts w:ascii="仿宋" w:eastAsia="仿宋" w:hAnsi="仿宋" w:hint="eastAsia"/>
          <w:sz w:val="32"/>
          <w:szCs w:val="32"/>
        </w:rPr>
        <w:t>截止年末，全市已有开展保险业务的保险公司5户。全年保险业实现保费收入</w:t>
      </w:r>
      <w:r w:rsidR="00631904" w:rsidRPr="00EE6634">
        <w:rPr>
          <w:rFonts w:ascii="仿宋" w:eastAsia="仿宋" w:hAnsi="仿宋" w:hint="eastAsia"/>
          <w:sz w:val="32"/>
          <w:szCs w:val="32"/>
        </w:rPr>
        <w:t>2813.5</w:t>
      </w:r>
      <w:r w:rsidRPr="00EE6634">
        <w:rPr>
          <w:rFonts w:ascii="仿宋" w:eastAsia="仿宋" w:hAnsi="仿宋" w:hint="eastAsia"/>
          <w:sz w:val="32"/>
          <w:szCs w:val="32"/>
        </w:rPr>
        <w:t>万元</w:t>
      </w:r>
      <w:r w:rsidR="00631904" w:rsidRPr="00EE6634">
        <w:rPr>
          <w:rFonts w:ascii="仿宋" w:eastAsia="仿宋" w:hAnsi="仿宋" w:hint="eastAsia"/>
          <w:sz w:val="32"/>
          <w:szCs w:val="32"/>
        </w:rPr>
        <w:t>。</w:t>
      </w:r>
      <w:r w:rsidRPr="00EE6634">
        <w:rPr>
          <w:rFonts w:ascii="仿宋" w:eastAsia="仿宋" w:hAnsi="仿宋" w:hint="eastAsia"/>
          <w:sz w:val="32"/>
          <w:szCs w:val="32"/>
        </w:rPr>
        <w:t>其中，财产险保费收入</w:t>
      </w:r>
      <w:r w:rsidR="00631904" w:rsidRPr="00EE6634">
        <w:rPr>
          <w:rFonts w:ascii="仿宋" w:eastAsia="仿宋" w:hAnsi="仿宋" w:hint="eastAsia"/>
          <w:sz w:val="32"/>
          <w:szCs w:val="32"/>
        </w:rPr>
        <w:t>1069</w:t>
      </w:r>
      <w:r w:rsidRPr="00EE6634">
        <w:rPr>
          <w:rFonts w:ascii="仿宋" w:eastAsia="仿宋" w:hAnsi="仿宋" w:hint="eastAsia"/>
          <w:sz w:val="32"/>
          <w:szCs w:val="32"/>
        </w:rPr>
        <w:t>万元，人身险保费收入</w:t>
      </w:r>
      <w:r w:rsidR="00631904" w:rsidRPr="00EE6634">
        <w:rPr>
          <w:rFonts w:ascii="仿宋" w:eastAsia="仿宋" w:hAnsi="仿宋" w:hint="eastAsia"/>
          <w:sz w:val="32"/>
          <w:szCs w:val="32"/>
        </w:rPr>
        <w:t>1228.6</w:t>
      </w:r>
      <w:r w:rsidRPr="00EE6634">
        <w:rPr>
          <w:rFonts w:ascii="仿宋" w:eastAsia="仿宋" w:hAnsi="仿宋" w:hint="eastAsia"/>
          <w:sz w:val="32"/>
          <w:szCs w:val="32"/>
        </w:rPr>
        <w:t>万元。全年保险业赔款与给付支出</w:t>
      </w:r>
      <w:r w:rsidR="00631904" w:rsidRPr="00EE6634">
        <w:rPr>
          <w:rFonts w:ascii="仿宋" w:eastAsia="仿宋" w:hAnsi="仿宋" w:hint="eastAsia"/>
          <w:sz w:val="32"/>
          <w:szCs w:val="32"/>
        </w:rPr>
        <w:t>1495.2</w:t>
      </w:r>
      <w:r w:rsidRPr="00EE6634">
        <w:rPr>
          <w:rFonts w:ascii="仿宋" w:eastAsia="仿宋" w:hAnsi="仿宋" w:hint="eastAsia"/>
          <w:sz w:val="32"/>
          <w:szCs w:val="32"/>
        </w:rPr>
        <w:t>万元</w:t>
      </w:r>
      <w:r w:rsidR="00631904" w:rsidRPr="00EE6634">
        <w:rPr>
          <w:rFonts w:ascii="仿宋" w:eastAsia="仿宋" w:hAnsi="仿宋" w:hint="eastAsia"/>
          <w:sz w:val="32"/>
          <w:szCs w:val="32"/>
        </w:rPr>
        <w:t>。</w:t>
      </w:r>
      <w:r w:rsidRPr="00EE6634">
        <w:rPr>
          <w:rFonts w:ascii="仿宋" w:eastAsia="仿宋" w:hAnsi="仿宋" w:hint="eastAsia"/>
          <w:sz w:val="32"/>
          <w:szCs w:val="32"/>
        </w:rPr>
        <w:t>其中，财产险赔款支出</w:t>
      </w:r>
      <w:r w:rsidR="00631904" w:rsidRPr="00EE6634">
        <w:rPr>
          <w:rFonts w:ascii="仿宋" w:eastAsia="仿宋" w:hAnsi="仿宋" w:hint="eastAsia"/>
          <w:sz w:val="32"/>
          <w:szCs w:val="32"/>
        </w:rPr>
        <w:t>1037.9</w:t>
      </w:r>
      <w:r w:rsidRPr="00EE6634">
        <w:rPr>
          <w:rFonts w:ascii="仿宋" w:eastAsia="仿宋" w:hAnsi="仿宋" w:hint="eastAsia"/>
          <w:sz w:val="32"/>
          <w:szCs w:val="32"/>
        </w:rPr>
        <w:t>万元，赔付率达</w:t>
      </w:r>
      <w:r w:rsidR="00CD0949" w:rsidRPr="00EE6634">
        <w:rPr>
          <w:rFonts w:ascii="仿宋" w:eastAsia="仿宋" w:hAnsi="仿宋" w:hint="eastAsia"/>
          <w:sz w:val="32"/>
          <w:szCs w:val="32"/>
        </w:rPr>
        <w:t>36.9</w:t>
      </w:r>
      <w:r w:rsidRPr="00EE6634">
        <w:rPr>
          <w:rFonts w:ascii="仿宋" w:eastAsia="仿宋" w:hAnsi="仿宋" w:hint="eastAsia"/>
          <w:sz w:val="32"/>
          <w:szCs w:val="32"/>
        </w:rPr>
        <w:t>%；人身险赔款及给付支出</w:t>
      </w:r>
      <w:r w:rsidR="00631904" w:rsidRPr="00EE6634">
        <w:rPr>
          <w:rFonts w:ascii="仿宋" w:eastAsia="仿宋" w:hAnsi="仿宋" w:hint="eastAsia"/>
          <w:sz w:val="32"/>
          <w:szCs w:val="32"/>
        </w:rPr>
        <w:t>254.5</w:t>
      </w:r>
      <w:r w:rsidRPr="00EE6634">
        <w:rPr>
          <w:rFonts w:ascii="仿宋" w:eastAsia="仿宋" w:hAnsi="仿宋" w:hint="eastAsia"/>
          <w:sz w:val="32"/>
          <w:szCs w:val="32"/>
        </w:rPr>
        <w:t>万元,赔付率达20.</w:t>
      </w:r>
      <w:r w:rsidR="00631904" w:rsidRPr="00EE6634">
        <w:rPr>
          <w:rFonts w:ascii="仿宋" w:eastAsia="仿宋" w:hAnsi="仿宋" w:hint="eastAsia"/>
          <w:sz w:val="32"/>
          <w:szCs w:val="32"/>
        </w:rPr>
        <w:t>0</w:t>
      </w:r>
      <w:r w:rsidRPr="00EE6634">
        <w:rPr>
          <w:rFonts w:ascii="仿宋" w:eastAsia="仿宋" w:hAnsi="仿宋" w:hint="eastAsia"/>
          <w:sz w:val="32"/>
          <w:szCs w:val="32"/>
        </w:rPr>
        <w:t>%。</w:t>
      </w:r>
    </w:p>
    <w:p w:rsidR="007569A1" w:rsidRPr="00EE6634" w:rsidRDefault="001B1A4A">
      <w:pPr>
        <w:spacing w:line="360" w:lineRule="auto"/>
        <w:ind w:rightChars="-1" w:right="-2" w:firstLineChars="206" w:firstLine="662"/>
        <w:jc w:val="both"/>
        <w:rPr>
          <w:rFonts w:ascii="仿宋" w:eastAsia="仿宋" w:hAnsi="仿宋"/>
          <w:b/>
          <w:sz w:val="32"/>
          <w:szCs w:val="32"/>
        </w:rPr>
      </w:pPr>
      <w:r w:rsidRPr="00EE6634">
        <w:rPr>
          <w:rFonts w:ascii="仿宋" w:eastAsia="仿宋" w:hAnsi="仿宋" w:hint="eastAsia"/>
          <w:b/>
          <w:sz w:val="32"/>
          <w:szCs w:val="32"/>
        </w:rPr>
        <w:t>八、教育和科学技术</w:t>
      </w:r>
    </w:p>
    <w:p w:rsidR="007569A1" w:rsidRPr="00EE6634" w:rsidRDefault="001B1A4A">
      <w:pPr>
        <w:spacing w:line="360" w:lineRule="auto"/>
        <w:ind w:rightChars="-1" w:right="-2" w:firstLineChars="206" w:firstLine="659"/>
        <w:jc w:val="both"/>
        <w:rPr>
          <w:rFonts w:ascii="仿宋" w:eastAsia="仿宋" w:hAnsi="仿宋"/>
          <w:sz w:val="32"/>
          <w:szCs w:val="32"/>
        </w:rPr>
      </w:pPr>
      <w:r w:rsidRPr="00EE6634">
        <w:rPr>
          <w:rFonts w:ascii="仿宋" w:eastAsia="仿宋" w:hAnsi="仿宋" w:hint="eastAsia"/>
          <w:sz w:val="32"/>
          <w:szCs w:val="32"/>
        </w:rPr>
        <w:t>全市共有中小学6所，在校学生</w:t>
      </w:r>
      <w:r w:rsidR="00A12C3F" w:rsidRPr="00EE6634">
        <w:rPr>
          <w:rFonts w:ascii="仿宋" w:eastAsia="仿宋" w:hAnsi="仿宋" w:hint="eastAsia"/>
          <w:sz w:val="32"/>
          <w:szCs w:val="32"/>
        </w:rPr>
        <w:t>2215</w:t>
      </w:r>
      <w:r w:rsidRPr="00EE6634">
        <w:rPr>
          <w:rFonts w:ascii="仿宋" w:eastAsia="仿宋" w:hAnsi="仿宋" w:hint="eastAsia"/>
          <w:sz w:val="32"/>
          <w:szCs w:val="32"/>
        </w:rPr>
        <w:t>人，专任教师</w:t>
      </w:r>
      <w:r w:rsidR="001D02CD" w:rsidRPr="00EE6634">
        <w:rPr>
          <w:rFonts w:ascii="仿宋" w:eastAsia="仿宋" w:hAnsi="仿宋" w:hint="eastAsia"/>
          <w:sz w:val="32"/>
          <w:szCs w:val="32"/>
        </w:rPr>
        <w:t>347</w:t>
      </w:r>
      <w:r w:rsidRPr="00EE6634">
        <w:rPr>
          <w:rFonts w:ascii="仿宋" w:eastAsia="仿宋" w:hAnsi="仿宋" w:hint="eastAsia"/>
          <w:sz w:val="32"/>
          <w:szCs w:val="32"/>
        </w:rPr>
        <w:t>人。其中，普通中学2所，全年招生</w:t>
      </w:r>
      <w:r w:rsidR="001D02CD" w:rsidRPr="00EE6634">
        <w:rPr>
          <w:rFonts w:ascii="仿宋" w:eastAsia="仿宋" w:hAnsi="仿宋" w:hint="eastAsia"/>
          <w:sz w:val="32"/>
          <w:szCs w:val="32"/>
        </w:rPr>
        <w:t>120</w:t>
      </w:r>
      <w:r w:rsidRPr="00EE6634">
        <w:rPr>
          <w:rFonts w:ascii="仿宋" w:eastAsia="仿宋" w:hAnsi="仿宋" w:hint="eastAsia"/>
          <w:sz w:val="32"/>
          <w:szCs w:val="32"/>
        </w:rPr>
        <w:t>人，在校学生</w:t>
      </w:r>
      <w:r w:rsidR="001D02CD" w:rsidRPr="00EE6634">
        <w:rPr>
          <w:rFonts w:ascii="仿宋" w:eastAsia="仿宋" w:hAnsi="仿宋" w:hint="eastAsia"/>
          <w:sz w:val="32"/>
          <w:szCs w:val="32"/>
        </w:rPr>
        <w:t>397</w:t>
      </w:r>
      <w:r w:rsidRPr="00EE6634">
        <w:rPr>
          <w:rFonts w:ascii="仿宋" w:eastAsia="仿宋" w:hAnsi="仿宋" w:hint="eastAsia"/>
          <w:sz w:val="32"/>
          <w:szCs w:val="32"/>
        </w:rPr>
        <w:t>人，教职工</w:t>
      </w:r>
      <w:r w:rsidR="001D02CD" w:rsidRPr="00EE6634">
        <w:rPr>
          <w:rFonts w:ascii="仿宋" w:eastAsia="仿宋" w:hAnsi="仿宋" w:hint="eastAsia"/>
          <w:sz w:val="32"/>
          <w:szCs w:val="32"/>
        </w:rPr>
        <w:t>166</w:t>
      </w:r>
      <w:r w:rsidRPr="00EE6634">
        <w:rPr>
          <w:rFonts w:ascii="仿宋" w:eastAsia="仿宋" w:hAnsi="仿宋" w:hint="eastAsia"/>
          <w:sz w:val="32"/>
          <w:szCs w:val="32"/>
        </w:rPr>
        <w:t>人，其中，专任教师</w:t>
      </w:r>
      <w:r w:rsidR="001D02CD" w:rsidRPr="00EE6634">
        <w:rPr>
          <w:rFonts w:ascii="仿宋" w:eastAsia="仿宋" w:hAnsi="仿宋" w:hint="eastAsia"/>
          <w:sz w:val="32"/>
          <w:szCs w:val="32"/>
        </w:rPr>
        <w:t>158</w:t>
      </w:r>
      <w:r w:rsidRPr="00EE6634">
        <w:rPr>
          <w:rFonts w:ascii="仿宋" w:eastAsia="仿宋" w:hAnsi="仿宋" w:hint="eastAsia"/>
          <w:sz w:val="32"/>
          <w:szCs w:val="32"/>
        </w:rPr>
        <w:t>人；小学4所，全年招生</w:t>
      </w:r>
      <w:r w:rsidR="001D02CD" w:rsidRPr="00EE6634">
        <w:rPr>
          <w:rFonts w:ascii="仿宋" w:eastAsia="仿宋" w:hAnsi="仿宋" w:hint="eastAsia"/>
          <w:sz w:val="32"/>
          <w:szCs w:val="32"/>
        </w:rPr>
        <w:t>148</w:t>
      </w:r>
      <w:r w:rsidRPr="00EE6634">
        <w:rPr>
          <w:rFonts w:ascii="仿宋" w:eastAsia="仿宋" w:hAnsi="仿宋" w:hint="eastAsia"/>
          <w:sz w:val="32"/>
          <w:szCs w:val="32"/>
        </w:rPr>
        <w:t>人，在校学生</w:t>
      </w:r>
      <w:r w:rsidR="001D02CD" w:rsidRPr="00EE6634">
        <w:rPr>
          <w:rFonts w:ascii="仿宋" w:eastAsia="仿宋" w:hAnsi="仿宋" w:hint="eastAsia"/>
          <w:sz w:val="32"/>
          <w:szCs w:val="32"/>
        </w:rPr>
        <w:t>995</w:t>
      </w:r>
      <w:r w:rsidRPr="00EE6634">
        <w:rPr>
          <w:rFonts w:ascii="仿宋" w:eastAsia="仿宋" w:hAnsi="仿宋" w:hint="eastAsia"/>
          <w:sz w:val="32"/>
          <w:szCs w:val="32"/>
        </w:rPr>
        <w:t>人，教职工</w:t>
      </w:r>
      <w:r w:rsidR="001D02CD" w:rsidRPr="00EE6634">
        <w:rPr>
          <w:rFonts w:ascii="仿宋" w:eastAsia="仿宋" w:hAnsi="仿宋" w:hint="eastAsia"/>
          <w:sz w:val="32"/>
          <w:szCs w:val="32"/>
        </w:rPr>
        <w:t>149</w:t>
      </w:r>
      <w:r w:rsidRPr="00EE6634">
        <w:rPr>
          <w:rFonts w:ascii="仿宋" w:eastAsia="仿宋" w:hAnsi="仿宋" w:hint="eastAsia"/>
          <w:sz w:val="32"/>
          <w:szCs w:val="32"/>
        </w:rPr>
        <w:t>人，其中，专任教师</w:t>
      </w:r>
      <w:r w:rsidR="001D02CD" w:rsidRPr="00EE6634">
        <w:rPr>
          <w:rFonts w:ascii="仿宋" w:eastAsia="仿宋" w:hAnsi="仿宋" w:hint="eastAsia"/>
          <w:sz w:val="32"/>
          <w:szCs w:val="32"/>
        </w:rPr>
        <w:t>138</w:t>
      </w:r>
      <w:r w:rsidRPr="00EE6634">
        <w:rPr>
          <w:rFonts w:ascii="仿宋" w:eastAsia="仿宋" w:hAnsi="仿宋" w:hint="eastAsia"/>
          <w:sz w:val="32"/>
          <w:szCs w:val="32"/>
        </w:rPr>
        <w:t>人。小学适龄儿童入学率100%。</w:t>
      </w:r>
    </w:p>
    <w:p w:rsidR="007569A1" w:rsidRPr="00EE6634" w:rsidRDefault="001B1A4A">
      <w:pPr>
        <w:spacing w:line="360" w:lineRule="auto"/>
        <w:ind w:rightChars="-1" w:right="-2" w:firstLineChars="206" w:firstLine="659"/>
        <w:jc w:val="both"/>
        <w:rPr>
          <w:rFonts w:ascii="仿宋" w:eastAsia="仿宋" w:hAnsi="仿宋"/>
          <w:sz w:val="32"/>
          <w:szCs w:val="32"/>
        </w:rPr>
      </w:pPr>
      <w:r w:rsidRPr="00EE6634">
        <w:rPr>
          <w:rFonts w:ascii="仿宋" w:eastAsia="仿宋" w:hAnsi="仿宋" w:hint="eastAsia"/>
          <w:sz w:val="32"/>
          <w:szCs w:val="32"/>
        </w:rPr>
        <w:t>全市公立及已登记注册的民办幼儿园共有13所。在园幼儿</w:t>
      </w:r>
      <w:r w:rsidR="005002FB" w:rsidRPr="00EE6634">
        <w:rPr>
          <w:rFonts w:ascii="仿宋" w:eastAsia="仿宋" w:hAnsi="仿宋" w:hint="eastAsia"/>
          <w:sz w:val="32"/>
          <w:szCs w:val="32"/>
        </w:rPr>
        <w:t>661</w:t>
      </w:r>
      <w:r w:rsidRPr="00EE6634">
        <w:rPr>
          <w:rFonts w:ascii="仿宋" w:eastAsia="仿宋" w:hAnsi="仿宋" w:hint="eastAsia"/>
          <w:sz w:val="32"/>
          <w:szCs w:val="32"/>
        </w:rPr>
        <w:t>人；教职工9</w:t>
      </w:r>
      <w:r w:rsidR="001D02CD" w:rsidRPr="00EE6634">
        <w:rPr>
          <w:rFonts w:ascii="仿宋" w:eastAsia="仿宋" w:hAnsi="仿宋" w:hint="eastAsia"/>
          <w:sz w:val="32"/>
          <w:szCs w:val="32"/>
        </w:rPr>
        <w:t>7</w:t>
      </w:r>
      <w:r w:rsidRPr="00EE6634">
        <w:rPr>
          <w:rFonts w:ascii="仿宋" w:eastAsia="仿宋" w:hAnsi="仿宋" w:hint="eastAsia"/>
          <w:sz w:val="32"/>
          <w:szCs w:val="32"/>
        </w:rPr>
        <w:t>人，其中：专任教师</w:t>
      </w:r>
      <w:r w:rsidR="001D02CD" w:rsidRPr="00EE6634">
        <w:rPr>
          <w:rFonts w:ascii="仿宋" w:eastAsia="仿宋" w:hAnsi="仿宋" w:hint="eastAsia"/>
          <w:sz w:val="32"/>
          <w:szCs w:val="32"/>
        </w:rPr>
        <w:t>51</w:t>
      </w:r>
      <w:r w:rsidRPr="00EE6634">
        <w:rPr>
          <w:rFonts w:ascii="仿宋" w:eastAsia="仿宋" w:hAnsi="仿宋" w:hint="eastAsia"/>
          <w:sz w:val="32"/>
          <w:szCs w:val="32"/>
        </w:rPr>
        <w:t>人。</w:t>
      </w:r>
    </w:p>
    <w:p w:rsidR="007569A1" w:rsidRPr="00EE6634" w:rsidRDefault="001B1A4A">
      <w:pPr>
        <w:spacing w:line="360" w:lineRule="auto"/>
        <w:ind w:rightChars="-1" w:right="-2" w:firstLineChars="206" w:firstLine="659"/>
        <w:jc w:val="both"/>
        <w:rPr>
          <w:rFonts w:ascii="仿宋" w:eastAsia="仿宋" w:hAnsi="仿宋"/>
          <w:sz w:val="32"/>
          <w:szCs w:val="32"/>
        </w:rPr>
      </w:pPr>
      <w:proofErr w:type="gramStart"/>
      <w:r w:rsidRPr="00EE6634">
        <w:rPr>
          <w:rFonts w:ascii="仿宋" w:eastAsia="仿宋" w:hAnsi="仿宋" w:hint="eastAsia"/>
          <w:sz w:val="32"/>
          <w:szCs w:val="32"/>
        </w:rPr>
        <w:t>全年科技</w:t>
      </w:r>
      <w:proofErr w:type="gramEnd"/>
      <w:r w:rsidRPr="00EE6634">
        <w:rPr>
          <w:rFonts w:ascii="仿宋" w:eastAsia="仿宋" w:hAnsi="仿宋" w:hint="eastAsia"/>
          <w:sz w:val="32"/>
          <w:szCs w:val="32"/>
        </w:rPr>
        <w:t>经费支出</w:t>
      </w:r>
      <w:r w:rsidR="006D4F74" w:rsidRPr="00EE6634">
        <w:rPr>
          <w:rFonts w:ascii="仿宋" w:eastAsia="仿宋" w:hAnsi="仿宋" w:hint="eastAsia"/>
          <w:sz w:val="32"/>
          <w:szCs w:val="32"/>
        </w:rPr>
        <w:t>205</w:t>
      </w:r>
      <w:r w:rsidRPr="00EE6634">
        <w:rPr>
          <w:rFonts w:ascii="仿宋" w:eastAsia="仿宋" w:hAnsi="仿宋" w:hint="eastAsia"/>
          <w:sz w:val="32"/>
          <w:szCs w:val="32"/>
        </w:rPr>
        <w:t>万元。</w:t>
      </w:r>
    </w:p>
    <w:p w:rsidR="007569A1" w:rsidRPr="00EE6634" w:rsidRDefault="001B1A4A">
      <w:pPr>
        <w:spacing w:line="360" w:lineRule="auto"/>
        <w:ind w:rightChars="-1" w:right="-2" w:firstLineChars="206" w:firstLine="662"/>
        <w:jc w:val="both"/>
        <w:rPr>
          <w:rFonts w:ascii="仿宋" w:eastAsia="仿宋" w:hAnsi="仿宋"/>
          <w:b/>
          <w:sz w:val="32"/>
          <w:szCs w:val="32"/>
        </w:rPr>
      </w:pPr>
      <w:r w:rsidRPr="00EE6634">
        <w:rPr>
          <w:rFonts w:ascii="仿宋" w:eastAsia="仿宋" w:hAnsi="仿宋" w:hint="eastAsia"/>
          <w:b/>
          <w:sz w:val="32"/>
          <w:szCs w:val="32"/>
        </w:rPr>
        <w:t>九、文化、卫生和体育</w:t>
      </w:r>
    </w:p>
    <w:p w:rsidR="007569A1" w:rsidRPr="00EE6634" w:rsidRDefault="001B1A4A">
      <w:pPr>
        <w:spacing w:line="360" w:lineRule="auto"/>
        <w:ind w:rightChars="-1" w:right="-2" w:firstLineChars="206" w:firstLine="659"/>
        <w:jc w:val="both"/>
        <w:rPr>
          <w:rFonts w:ascii="仿宋" w:eastAsia="仿宋" w:hAnsi="仿宋"/>
          <w:sz w:val="32"/>
          <w:szCs w:val="32"/>
        </w:rPr>
      </w:pPr>
      <w:r w:rsidRPr="00EE6634">
        <w:rPr>
          <w:rFonts w:ascii="仿宋" w:eastAsia="仿宋" w:hAnsi="仿宋" w:hint="eastAsia"/>
          <w:sz w:val="32"/>
          <w:szCs w:val="32"/>
        </w:rPr>
        <w:t>年末全市共有艺术表演团体（乌兰牧骑）1个，从业人员</w:t>
      </w:r>
      <w:r w:rsidR="00622F33" w:rsidRPr="00EE6634">
        <w:rPr>
          <w:rFonts w:ascii="仿宋" w:eastAsia="仿宋" w:hAnsi="仿宋" w:hint="eastAsia"/>
          <w:sz w:val="32"/>
          <w:szCs w:val="32"/>
        </w:rPr>
        <w:t>9</w:t>
      </w:r>
      <w:r w:rsidRPr="00EE6634">
        <w:rPr>
          <w:rFonts w:ascii="仿宋" w:eastAsia="仿宋" w:hAnsi="仿宋" w:hint="eastAsia"/>
          <w:sz w:val="32"/>
          <w:szCs w:val="32"/>
        </w:rPr>
        <w:t>人，全年演出</w:t>
      </w:r>
      <w:r w:rsidR="00622F33" w:rsidRPr="00EE6634">
        <w:rPr>
          <w:rFonts w:ascii="仿宋" w:eastAsia="仿宋" w:hAnsi="仿宋" w:hint="eastAsia"/>
          <w:sz w:val="32"/>
          <w:szCs w:val="32"/>
        </w:rPr>
        <w:t>108</w:t>
      </w:r>
      <w:r w:rsidRPr="00EE6634">
        <w:rPr>
          <w:rFonts w:ascii="仿宋" w:eastAsia="仿宋" w:hAnsi="仿宋" w:hint="eastAsia"/>
          <w:sz w:val="32"/>
          <w:szCs w:val="32"/>
        </w:rPr>
        <w:t>场。全市拥有文物管理站1个；综合</w:t>
      </w:r>
      <w:r w:rsidRPr="00EE6634">
        <w:rPr>
          <w:rFonts w:ascii="仿宋" w:eastAsia="仿宋" w:hAnsi="仿宋" w:hint="eastAsia"/>
          <w:sz w:val="32"/>
          <w:szCs w:val="32"/>
        </w:rPr>
        <w:lastRenderedPageBreak/>
        <w:t>文化站8个。年末全市有广播电台2座，广播综合人口覆盖率98.5%；拥有电视台4座，电视综合人口覆盖率98.5%，有线广播电视用户8000户。全年市级报刊发行量</w:t>
      </w:r>
      <w:r w:rsidR="009753C5" w:rsidRPr="00EE6634">
        <w:rPr>
          <w:rFonts w:ascii="仿宋" w:eastAsia="仿宋" w:hAnsi="仿宋" w:hint="eastAsia"/>
          <w:sz w:val="32"/>
          <w:szCs w:val="32"/>
        </w:rPr>
        <w:t>17742</w:t>
      </w:r>
      <w:r w:rsidRPr="00EE6634">
        <w:rPr>
          <w:rFonts w:ascii="仿宋" w:eastAsia="仿宋" w:hAnsi="仿宋" w:hint="eastAsia"/>
          <w:sz w:val="32"/>
          <w:szCs w:val="32"/>
        </w:rPr>
        <w:t>份。</w:t>
      </w:r>
    </w:p>
    <w:p w:rsidR="007569A1" w:rsidRPr="00EE6634" w:rsidRDefault="001B1A4A">
      <w:pPr>
        <w:spacing w:line="360" w:lineRule="auto"/>
        <w:ind w:rightChars="-1" w:right="-2" w:firstLineChars="206" w:firstLine="659"/>
        <w:jc w:val="both"/>
        <w:rPr>
          <w:rFonts w:ascii="仿宋" w:eastAsia="仿宋" w:hAnsi="仿宋"/>
          <w:sz w:val="32"/>
          <w:szCs w:val="32"/>
        </w:rPr>
      </w:pPr>
      <w:r w:rsidRPr="00EE6634">
        <w:rPr>
          <w:rFonts w:ascii="仿宋" w:eastAsia="仿宋" w:hAnsi="仿宋" w:hint="eastAsia"/>
          <w:sz w:val="32"/>
          <w:szCs w:val="32"/>
        </w:rPr>
        <w:t>年末全市共有卫生机构（含个体）</w:t>
      </w:r>
      <w:r w:rsidR="00140B9E" w:rsidRPr="00EE6634">
        <w:rPr>
          <w:rFonts w:ascii="仿宋" w:eastAsia="仿宋" w:hAnsi="仿宋" w:hint="eastAsia"/>
          <w:sz w:val="32"/>
          <w:szCs w:val="32"/>
        </w:rPr>
        <w:t>28</w:t>
      </w:r>
      <w:r w:rsidRPr="00EE6634">
        <w:rPr>
          <w:rFonts w:ascii="仿宋" w:eastAsia="仿宋" w:hAnsi="仿宋" w:hint="eastAsia"/>
          <w:sz w:val="32"/>
          <w:szCs w:val="32"/>
        </w:rPr>
        <w:t>个，其中：医院、卫生院(含社区、疗养院)</w:t>
      </w:r>
      <w:r w:rsidR="00140B9E" w:rsidRPr="00EE6634">
        <w:rPr>
          <w:rFonts w:ascii="仿宋" w:eastAsia="仿宋" w:hAnsi="仿宋" w:hint="eastAsia"/>
          <w:sz w:val="32"/>
          <w:szCs w:val="32"/>
        </w:rPr>
        <w:t>10</w:t>
      </w:r>
      <w:r w:rsidRPr="00EE6634">
        <w:rPr>
          <w:rFonts w:ascii="仿宋" w:eastAsia="仿宋" w:hAnsi="仿宋" w:hint="eastAsia"/>
          <w:sz w:val="32"/>
          <w:szCs w:val="32"/>
        </w:rPr>
        <w:t>个。年末各医疗单位实有病床</w:t>
      </w:r>
      <w:r w:rsidR="00140B9E" w:rsidRPr="00EE6634">
        <w:rPr>
          <w:rFonts w:ascii="仿宋" w:eastAsia="仿宋" w:hAnsi="仿宋" w:hint="eastAsia"/>
          <w:sz w:val="32"/>
          <w:szCs w:val="32"/>
        </w:rPr>
        <w:t>178</w:t>
      </w:r>
      <w:r w:rsidRPr="00EE6634">
        <w:rPr>
          <w:rFonts w:ascii="仿宋" w:eastAsia="仿宋" w:hAnsi="仿宋" w:hint="eastAsia"/>
          <w:sz w:val="32"/>
          <w:szCs w:val="32"/>
        </w:rPr>
        <w:t>张。年末全市有卫生技术人员31</w:t>
      </w:r>
      <w:r w:rsidR="00140B9E" w:rsidRPr="00EE6634">
        <w:rPr>
          <w:rFonts w:ascii="仿宋" w:eastAsia="仿宋" w:hAnsi="仿宋" w:hint="eastAsia"/>
          <w:sz w:val="32"/>
          <w:szCs w:val="32"/>
        </w:rPr>
        <w:t>7</w:t>
      </w:r>
      <w:r w:rsidRPr="00EE6634">
        <w:rPr>
          <w:rFonts w:ascii="仿宋" w:eastAsia="仿宋" w:hAnsi="仿宋" w:hint="eastAsia"/>
          <w:sz w:val="32"/>
          <w:szCs w:val="32"/>
        </w:rPr>
        <w:t>人,其中:执业医师9</w:t>
      </w:r>
      <w:r w:rsidR="00140B9E" w:rsidRPr="00EE6634">
        <w:rPr>
          <w:rFonts w:ascii="仿宋" w:eastAsia="仿宋" w:hAnsi="仿宋" w:hint="eastAsia"/>
          <w:sz w:val="32"/>
          <w:szCs w:val="32"/>
        </w:rPr>
        <w:t>7</w:t>
      </w:r>
      <w:r w:rsidRPr="00EE6634">
        <w:rPr>
          <w:rFonts w:ascii="仿宋" w:eastAsia="仿宋" w:hAnsi="仿宋" w:hint="eastAsia"/>
          <w:sz w:val="32"/>
          <w:szCs w:val="32"/>
        </w:rPr>
        <w:t>人、执业助理医师2</w:t>
      </w:r>
      <w:r w:rsidR="00140B9E" w:rsidRPr="00EE6634">
        <w:rPr>
          <w:rFonts w:ascii="仿宋" w:eastAsia="仿宋" w:hAnsi="仿宋" w:hint="eastAsia"/>
          <w:sz w:val="32"/>
          <w:szCs w:val="32"/>
        </w:rPr>
        <w:t>2</w:t>
      </w:r>
      <w:r w:rsidRPr="00EE6634">
        <w:rPr>
          <w:rFonts w:ascii="仿宋" w:eastAsia="仿宋" w:hAnsi="仿宋" w:hint="eastAsia"/>
          <w:sz w:val="32"/>
          <w:szCs w:val="32"/>
        </w:rPr>
        <w:t>人，注册护士11</w:t>
      </w:r>
      <w:r w:rsidR="00140B9E" w:rsidRPr="00EE6634">
        <w:rPr>
          <w:rFonts w:ascii="仿宋" w:eastAsia="仿宋" w:hAnsi="仿宋" w:hint="eastAsia"/>
          <w:sz w:val="32"/>
          <w:szCs w:val="32"/>
        </w:rPr>
        <w:t>6</w:t>
      </w:r>
      <w:r w:rsidRPr="00EE6634">
        <w:rPr>
          <w:rFonts w:ascii="仿宋" w:eastAsia="仿宋" w:hAnsi="仿宋" w:hint="eastAsia"/>
          <w:sz w:val="32"/>
          <w:szCs w:val="32"/>
        </w:rPr>
        <w:t>人。全市有妇幼卫生保健机构1个，卫生技术人员7人。年末全市有疾病预防控制中心1个，卫生技术人员14人。全市共有乡镇卫生院4个，床位44张，卫生技术人员45人。</w:t>
      </w:r>
    </w:p>
    <w:p w:rsidR="007569A1" w:rsidRPr="00EE6634" w:rsidRDefault="001B1A4A" w:rsidP="001B42BE">
      <w:pPr>
        <w:spacing w:line="360" w:lineRule="auto"/>
        <w:ind w:firstLineChars="200" w:firstLine="640"/>
        <w:rPr>
          <w:rFonts w:ascii="仿宋_GB2312" w:eastAsia="仿宋_GB2312" w:cs="Tahoma"/>
          <w:color w:val="333333"/>
          <w:sz w:val="32"/>
          <w:szCs w:val="32"/>
        </w:rPr>
      </w:pPr>
      <w:r w:rsidRPr="00EE6634">
        <w:rPr>
          <w:rFonts w:ascii="仿宋" w:eastAsia="仿宋" w:hAnsi="仿宋" w:hint="eastAsia"/>
          <w:sz w:val="32"/>
          <w:szCs w:val="32"/>
        </w:rPr>
        <w:t>全市共承办</w:t>
      </w:r>
      <w:r w:rsidR="00A54B1B" w:rsidRPr="00EE6634">
        <w:rPr>
          <w:rFonts w:ascii="仿宋" w:eastAsia="仿宋" w:hAnsi="仿宋" w:hint="eastAsia"/>
          <w:sz w:val="32"/>
          <w:szCs w:val="32"/>
        </w:rPr>
        <w:t>两</w:t>
      </w:r>
      <w:r w:rsidRPr="00EE6634">
        <w:rPr>
          <w:rFonts w:ascii="仿宋" w:eastAsia="仿宋" w:hAnsi="仿宋" w:hint="eastAsia"/>
          <w:sz w:val="32"/>
          <w:szCs w:val="32"/>
        </w:rPr>
        <w:t>场大型体育赛事。</w:t>
      </w:r>
      <w:r w:rsidR="00A54B1B" w:rsidRPr="00EE6634">
        <w:rPr>
          <w:rFonts w:ascii="仿宋" w:eastAsia="仿宋" w:hAnsi="仿宋" w:hint="eastAsia"/>
          <w:sz w:val="32"/>
          <w:szCs w:val="32"/>
        </w:rPr>
        <w:t>由国家体育总局冬季运动管理中心主办的2017-2018年度全国自由式滑雪空中技巧锦标赛</w:t>
      </w:r>
      <w:r w:rsidR="001B42BE" w:rsidRPr="00EE6634">
        <w:rPr>
          <w:rFonts w:ascii="仿宋" w:eastAsia="仿宋" w:hAnsi="仿宋" w:hint="eastAsia"/>
          <w:sz w:val="32"/>
          <w:szCs w:val="32"/>
        </w:rPr>
        <w:t>，</w:t>
      </w:r>
      <w:r w:rsidR="00A54B1B" w:rsidRPr="00EE6634">
        <w:rPr>
          <w:rFonts w:ascii="仿宋" w:eastAsia="仿宋" w:hAnsi="仿宋" w:hint="eastAsia"/>
          <w:sz w:val="32"/>
          <w:szCs w:val="32"/>
        </w:rPr>
        <w:t>共有来自黑龙江省、长春市冬季运动管理中心、吉林体院长白山万达、新疆乌鲁木齐、沈阳体院等多支代表队近40余名运动员参赛。</w:t>
      </w:r>
      <w:r w:rsidR="001B42BE" w:rsidRPr="00EE6634">
        <w:rPr>
          <w:rFonts w:ascii="仿宋" w:eastAsia="仿宋" w:hAnsi="仿宋" w:hint="eastAsia"/>
          <w:sz w:val="32"/>
          <w:szCs w:val="32"/>
        </w:rPr>
        <w:t>同时</w:t>
      </w:r>
      <w:r w:rsidR="00A54B1B" w:rsidRPr="00EE6634">
        <w:rPr>
          <w:rFonts w:ascii="仿宋" w:eastAsia="仿宋" w:hAnsi="仿宋" w:hint="eastAsia"/>
          <w:sz w:val="32"/>
          <w:szCs w:val="32"/>
        </w:rPr>
        <w:t>参与承办内蒙古“阿尔山”杯中国羽毛球协会业余俱乐部联赛内蒙古选拔赛，</w:t>
      </w:r>
      <w:r w:rsidRPr="00EE6634">
        <w:rPr>
          <w:rFonts w:ascii="仿宋" w:eastAsia="仿宋" w:hAnsi="仿宋" w:hint="eastAsia"/>
          <w:sz w:val="32"/>
          <w:szCs w:val="32"/>
        </w:rPr>
        <w:t>使阿尔山独一无二的自然风景与激情的户外体育赛事结合在一起。</w:t>
      </w:r>
    </w:p>
    <w:p w:rsidR="007569A1" w:rsidRPr="00EE6634" w:rsidRDefault="001B1A4A">
      <w:pPr>
        <w:spacing w:line="360" w:lineRule="auto"/>
        <w:ind w:rightChars="-1" w:right="-2" w:firstLineChars="206" w:firstLine="662"/>
        <w:jc w:val="both"/>
        <w:rPr>
          <w:rFonts w:ascii="仿宋" w:eastAsia="仿宋" w:hAnsi="仿宋"/>
          <w:b/>
          <w:sz w:val="32"/>
          <w:szCs w:val="32"/>
        </w:rPr>
      </w:pPr>
      <w:r w:rsidRPr="00EE6634">
        <w:rPr>
          <w:rFonts w:ascii="仿宋" w:eastAsia="仿宋" w:hAnsi="仿宋" w:hint="eastAsia"/>
          <w:b/>
          <w:sz w:val="32"/>
          <w:szCs w:val="32"/>
        </w:rPr>
        <w:t>十、人口、人民生活和社会保障</w:t>
      </w:r>
    </w:p>
    <w:p w:rsidR="007569A1" w:rsidRPr="00EE6634" w:rsidRDefault="001B1A4A">
      <w:pPr>
        <w:spacing w:line="360" w:lineRule="auto"/>
        <w:ind w:rightChars="-1" w:right="-2" w:firstLineChars="206" w:firstLine="659"/>
        <w:jc w:val="both"/>
        <w:rPr>
          <w:rFonts w:ascii="仿宋" w:eastAsia="仿宋" w:hAnsi="仿宋"/>
          <w:sz w:val="32"/>
          <w:szCs w:val="32"/>
        </w:rPr>
      </w:pPr>
      <w:r w:rsidRPr="00EE6634">
        <w:rPr>
          <w:rFonts w:ascii="仿宋" w:eastAsia="仿宋" w:hAnsi="仿宋" w:hint="eastAsia"/>
          <w:sz w:val="32"/>
          <w:szCs w:val="32"/>
        </w:rPr>
        <w:t>据公安户籍统计，全年出生人口</w:t>
      </w:r>
      <w:r w:rsidR="0044184B" w:rsidRPr="00EE6634">
        <w:rPr>
          <w:rFonts w:ascii="仿宋" w:eastAsia="仿宋" w:hAnsi="仿宋" w:hint="eastAsia"/>
          <w:sz w:val="32"/>
          <w:szCs w:val="32"/>
        </w:rPr>
        <w:t>229</w:t>
      </w:r>
      <w:r w:rsidRPr="00EE6634">
        <w:rPr>
          <w:rFonts w:ascii="仿宋" w:eastAsia="仿宋" w:hAnsi="仿宋" w:hint="eastAsia"/>
          <w:sz w:val="32"/>
          <w:szCs w:val="32"/>
        </w:rPr>
        <w:t>人，出生率为</w:t>
      </w:r>
      <w:r w:rsidR="0044184B" w:rsidRPr="00EE6634">
        <w:rPr>
          <w:rFonts w:ascii="仿宋" w:eastAsia="仿宋" w:hAnsi="仿宋" w:hint="eastAsia"/>
          <w:sz w:val="32"/>
          <w:szCs w:val="32"/>
        </w:rPr>
        <w:t>5.03</w:t>
      </w:r>
      <w:r w:rsidRPr="00EE6634">
        <w:rPr>
          <w:rFonts w:ascii="仿宋" w:eastAsia="仿宋" w:hAnsi="仿宋" w:hint="eastAsia"/>
          <w:sz w:val="32"/>
          <w:szCs w:val="32"/>
        </w:rPr>
        <w:t>‰。年末全市户籍总人口</w:t>
      </w:r>
      <w:r w:rsidR="001604FB" w:rsidRPr="00EE6634">
        <w:rPr>
          <w:rFonts w:ascii="仿宋" w:eastAsia="仿宋" w:hAnsi="仿宋" w:hint="eastAsia"/>
          <w:sz w:val="32"/>
          <w:szCs w:val="32"/>
        </w:rPr>
        <w:t>45269</w:t>
      </w:r>
      <w:r w:rsidRPr="00EE6634">
        <w:rPr>
          <w:rFonts w:ascii="仿宋" w:eastAsia="仿宋" w:hAnsi="仿宋" w:hint="eastAsia"/>
          <w:sz w:val="32"/>
          <w:szCs w:val="32"/>
        </w:rPr>
        <w:t>人，比上年减少</w:t>
      </w:r>
      <w:r w:rsidR="001604FB" w:rsidRPr="00EE6634">
        <w:rPr>
          <w:rFonts w:ascii="仿宋" w:eastAsia="仿宋" w:hAnsi="仿宋" w:hint="eastAsia"/>
          <w:sz w:val="32"/>
          <w:szCs w:val="32"/>
        </w:rPr>
        <w:t>572</w:t>
      </w:r>
      <w:r w:rsidRPr="00EE6634">
        <w:rPr>
          <w:rFonts w:ascii="仿宋" w:eastAsia="仿宋" w:hAnsi="仿宋" w:hint="eastAsia"/>
          <w:sz w:val="32"/>
          <w:szCs w:val="32"/>
        </w:rPr>
        <w:t>人。其中，蒙古族人口</w:t>
      </w:r>
      <w:r w:rsidR="001604FB" w:rsidRPr="00EE6634">
        <w:rPr>
          <w:rFonts w:ascii="仿宋" w:eastAsia="仿宋" w:hAnsi="仿宋" w:hint="eastAsia"/>
          <w:sz w:val="32"/>
          <w:szCs w:val="32"/>
        </w:rPr>
        <w:t>8132</w:t>
      </w:r>
      <w:r w:rsidRPr="00EE6634">
        <w:rPr>
          <w:rFonts w:ascii="仿宋" w:eastAsia="仿宋" w:hAnsi="仿宋" w:hint="eastAsia"/>
          <w:sz w:val="32"/>
          <w:szCs w:val="32"/>
        </w:rPr>
        <w:t>人,</w:t>
      </w:r>
      <w:r w:rsidR="001604FB" w:rsidRPr="00EE6634">
        <w:rPr>
          <w:rFonts w:ascii="仿宋" w:eastAsia="仿宋" w:hAnsi="仿宋" w:hint="eastAsia"/>
          <w:sz w:val="32"/>
          <w:szCs w:val="32"/>
        </w:rPr>
        <w:t>减少</w:t>
      </w:r>
      <w:r w:rsidRPr="00EE6634">
        <w:rPr>
          <w:rFonts w:ascii="仿宋" w:eastAsia="仿宋" w:hAnsi="仿宋" w:hint="eastAsia"/>
          <w:sz w:val="32"/>
          <w:szCs w:val="32"/>
        </w:rPr>
        <w:t>1%，占总人口的</w:t>
      </w:r>
      <w:r w:rsidR="001604FB" w:rsidRPr="00EE6634">
        <w:rPr>
          <w:rFonts w:ascii="仿宋" w:eastAsia="仿宋" w:hAnsi="仿宋" w:hint="eastAsia"/>
          <w:sz w:val="32"/>
          <w:szCs w:val="32"/>
        </w:rPr>
        <w:t>18.0</w:t>
      </w:r>
      <w:r w:rsidRPr="00EE6634">
        <w:rPr>
          <w:rFonts w:ascii="仿宋" w:eastAsia="仿宋" w:hAnsi="仿宋" w:hint="eastAsia"/>
          <w:sz w:val="32"/>
          <w:szCs w:val="32"/>
        </w:rPr>
        <w:t>%,</w:t>
      </w:r>
      <w:r w:rsidRPr="00EE6634">
        <w:rPr>
          <w:rFonts w:ascii="仿宋" w:eastAsia="仿宋" w:hAnsi="仿宋" w:hint="eastAsia"/>
          <w:sz w:val="32"/>
          <w:szCs w:val="32"/>
        </w:rPr>
        <w:lastRenderedPageBreak/>
        <w:t>其他少数民族</w:t>
      </w:r>
      <w:r w:rsidR="001604FB" w:rsidRPr="00EE6634">
        <w:rPr>
          <w:rFonts w:ascii="仿宋" w:eastAsia="仿宋" w:hAnsi="仿宋" w:hint="eastAsia"/>
          <w:sz w:val="32"/>
          <w:szCs w:val="32"/>
        </w:rPr>
        <w:t>1982</w:t>
      </w:r>
      <w:r w:rsidRPr="00EE6634">
        <w:rPr>
          <w:rFonts w:ascii="仿宋" w:eastAsia="仿宋" w:hAnsi="仿宋" w:hint="eastAsia"/>
          <w:sz w:val="32"/>
          <w:szCs w:val="32"/>
        </w:rPr>
        <w:t>人，</w:t>
      </w:r>
      <w:r w:rsidR="001604FB" w:rsidRPr="00EE6634">
        <w:rPr>
          <w:rFonts w:ascii="仿宋" w:eastAsia="仿宋" w:hAnsi="仿宋" w:hint="eastAsia"/>
          <w:sz w:val="32"/>
          <w:szCs w:val="32"/>
        </w:rPr>
        <w:t>减少1.2</w:t>
      </w:r>
      <w:r w:rsidRPr="00EE6634">
        <w:rPr>
          <w:rFonts w:ascii="仿宋" w:eastAsia="仿宋" w:hAnsi="仿宋" w:hint="eastAsia"/>
          <w:sz w:val="32"/>
          <w:szCs w:val="32"/>
        </w:rPr>
        <w:t>%，占总人口的4.4%。据201</w:t>
      </w:r>
      <w:r w:rsidR="00274AF2" w:rsidRPr="00EE6634">
        <w:rPr>
          <w:rFonts w:ascii="仿宋" w:eastAsia="仿宋" w:hAnsi="仿宋" w:hint="eastAsia"/>
          <w:sz w:val="32"/>
          <w:szCs w:val="32"/>
        </w:rPr>
        <w:t>8</w:t>
      </w:r>
      <w:r w:rsidRPr="00EE6634">
        <w:rPr>
          <w:rFonts w:ascii="仿宋" w:eastAsia="仿宋" w:hAnsi="仿宋" w:hint="eastAsia"/>
          <w:sz w:val="32"/>
          <w:szCs w:val="32"/>
        </w:rPr>
        <w:t>年人口变动抽样调查资料测算，年末全市常住人口6</w:t>
      </w:r>
      <w:r w:rsidR="00274AF2" w:rsidRPr="00EE6634">
        <w:rPr>
          <w:rFonts w:ascii="仿宋" w:eastAsia="仿宋" w:hAnsi="仿宋" w:hint="eastAsia"/>
          <w:sz w:val="32"/>
          <w:szCs w:val="32"/>
        </w:rPr>
        <w:t>8200</w:t>
      </w:r>
      <w:r w:rsidRPr="00EE6634">
        <w:rPr>
          <w:rFonts w:ascii="仿宋" w:eastAsia="仿宋" w:hAnsi="仿宋" w:hint="eastAsia"/>
          <w:sz w:val="32"/>
          <w:szCs w:val="32"/>
        </w:rPr>
        <w:t>人，出生率为</w:t>
      </w:r>
      <w:r w:rsidR="00274AF2" w:rsidRPr="00EE6634">
        <w:rPr>
          <w:rFonts w:ascii="仿宋" w:eastAsia="仿宋" w:hAnsi="仿宋" w:hint="eastAsia"/>
          <w:sz w:val="32"/>
          <w:szCs w:val="32"/>
        </w:rPr>
        <w:t>6.37</w:t>
      </w:r>
      <w:r w:rsidRPr="00EE6634">
        <w:rPr>
          <w:rFonts w:ascii="仿宋" w:eastAsia="仿宋" w:hAnsi="仿宋" w:hint="eastAsia"/>
          <w:sz w:val="32"/>
          <w:szCs w:val="32"/>
        </w:rPr>
        <w:t>‰，死亡率为6.6</w:t>
      </w:r>
      <w:r w:rsidR="00274AF2" w:rsidRPr="00EE6634">
        <w:rPr>
          <w:rFonts w:ascii="仿宋" w:eastAsia="仿宋" w:hAnsi="仿宋" w:hint="eastAsia"/>
          <w:sz w:val="32"/>
          <w:szCs w:val="32"/>
        </w:rPr>
        <w:t>5</w:t>
      </w:r>
      <w:r w:rsidRPr="00EE6634">
        <w:rPr>
          <w:rFonts w:ascii="仿宋" w:eastAsia="仿宋" w:hAnsi="仿宋" w:hint="eastAsia"/>
          <w:sz w:val="32"/>
          <w:szCs w:val="32"/>
        </w:rPr>
        <w:t>‰，人口自然增长率为-</w:t>
      </w:r>
      <w:r w:rsidR="00274AF2" w:rsidRPr="00EE6634">
        <w:rPr>
          <w:rFonts w:ascii="仿宋" w:eastAsia="仿宋" w:hAnsi="仿宋" w:hint="eastAsia"/>
          <w:sz w:val="32"/>
          <w:szCs w:val="32"/>
        </w:rPr>
        <w:t>0.28</w:t>
      </w:r>
      <w:r w:rsidRPr="00EE6634">
        <w:rPr>
          <w:rFonts w:ascii="仿宋" w:eastAsia="仿宋" w:hAnsi="仿宋" w:hint="eastAsia"/>
          <w:sz w:val="32"/>
          <w:szCs w:val="32"/>
        </w:rPr>
        <w:t>‰。城镇化率为</w:t>
      </w:r>
      <w:r w:rsidR="00274AF2" w:rsidRPr="00EE6634">
        <w:rPr>
          <w:rFonts w:ascii="仿宋" w:eastAsia="仿宋" w:hAnsi="仿宋" w:hint="eastAsia"/>
          <w:sz w:val="32"/>
          <w:szCs w:val="32"/>
        </w:rPr>
        <w:t>86.80</w:t>
      </w:r>
      <w:r w:rsidRPr="00EE6634">
        <w:rPr>
          <w:rFonts w:ascii="仿宋" w:eastAsia="仿宋" w:hAnsi="仿宋" w:hint="eastAsia"/>
          <w:sz w:val="32"/>
          <w:szCs w:val="32"/>
        </w:rPr>
        <w:t>%。</w:t>
      </w:r>
    </w:p>
    <w:p w:rsidR="007569A1" w:rsidRPr="00EE6634" w:rsidRDefault="001B1A4A" w:rsidP="008C0654">
      <w:pPr>
        <w:spacing w:line="360" w:lineRule="auto"/>
        <w:ind w:rightChars="-1" w:right="-2" w:firstLineChars="206" w:firstLine="659"/>
        <w:jc w:val="both"/>
        <w:rPr>
          <w:rFonts w:ascii="仿宋" w:eastAsia="仿宋" w:hAnsi="仿宋"/>
          <w:sz w:val="32"/>
          <w:szCs w:val="32"/>
        </w:rPr>
      </w:pPr>
      <w:r w:rsidRPr="00EE6634">
        <w:rPr>
          <w:rFonts w:ascii="仿宋" w:eastAsia="仿宋" w:hAnsi="仿宋" w:hint="eastAsia"/>
          <w:sz w:val="32"/>
          <w:szCs w:val="32"/>
        </w:rPr>
        <w:t>全年全市全体居民人均可支配收入</w:t>
      </w:r>
      <w:r w:rsidR="008C0654" w:rsidRPr="00EE6634">
        <w:rPr>
          <w:rFonts w:ascii="仿宋" w:eastAsia="仿宋" w:hAnsi="仿宋" w:hint="eastAsia"/>
          <w:sz w:val="32"/>
          <w:szCs w:val="32"/>
        </w:rPr>
        <w:t>25358</w:t>
      </w:r>
      <w:r w:rsidRPr="00EE6634">
        <w:rPr>
          <w:rFonts w:ascii="仿宋" w:eastAsia="仿宋" w:hAnsi="仿宋" w:hint="eastAsia"/>
          <w:sz w:val="32"/>
          <w:szCs w:val="32"/>
        </w:rPr>
        <w:t>元，比上年增长</w:t>
      </w:r>
      <w:r w:rsidR="008C0654" w:rsidRPr="00EE6634">
        <w:rPr>
          <w:rFonts w:ascii="仿宋" w:eastAsia="仿宋" w:hAnsi="仿宋" w:hint="eastAsia"/>
          <w:sz w:val="32"/>
          <w:szCs w:val="32"/>
        </w:rPr>
        <w:t>10.2</w:t>
      </w:r>
      <w:r w:rsidRPr="00EE6634">
        <w:rPr>
          <w:rFonts w:ascii="仿宋" w:eastAsia="仿宋" w:hAnsi="仿宋" w:hint="eastAsia"/>
          <w:sz w:val="32"/>
          <w:szCs w:val="32"/>
        </w:rPr>
        <w:t>%；全体居民人均消费性支出</w:t>
      </w:r>
      <w:r w:rsidR="008C0654" w:rsidRPr="00EE6634">
        <w:rPr>
          <w:rFonts w:ascii="仿宋" w:eastAsia="仿宋" w:hAnsi="仿宋" w:hint="eastAsia"/>
          <w:sz w:val="32"/>
          <w:szCs w:val="32"/>
        </w:rPr>
        <w:t>17031</w:t>
      </w:r>
      <w:r w:rsidRPr="00EE6634">
        <w:rPr>
          <w:rFonts w:ascii="仿宋" w:eastAsia="仿宋" w:hAnsi="仿宋" w:hint="eastAsia"/>
          <w:sz w:val="32"/>
          <w:szCs w:val="32"/>
        </w:rPr>
        <w:t>元，比上年增长</w:t>
      </w:r>
      <w:r w:rsidR="008C0654" w:rsidRPr="00EE6634">
        <w:rPr>
          <w:rFonts w:ascii="仿宋" w:eastAsia="仿宋" w:hAnsi="仿宋" w:hint="eastAsia"/>
          <w:sz w:val="32"/>
          <w:szCs w:val="32"/>
        </w:rPr>
        <w:t>8.1</w:t>
      </w:r>
      <w:r w:rsidRPr="00EE6634">
        <w:rPr>
          <w:rFonts w:ascii="仿宋" w:eastAsia="仿宋" w:hAnsi="仿宋" w:hint="eastAsia"/>
          <w:sz w:val="32"/>
          <w:szCs w:val="32"/>
        </w:rPr>
        <w:t>%。全年城镇常住居民人均可支配收入</w:t>
      </w:r>
      <w:r w:rsidR="008C0654" w:rsidRPr="00EE6634">
        <w:rPr>
          <w:rFonts w:ascii="仿宋" w:eastAsia="仿宋" w:hAnsi="仿宋" w:hint="eastAsia"/>
          <w:sz w:val="32"/>
          <w:szCs w:val="32"/>
        </w:rPr>
        <w:t>27981</w:t>
      </w:r>
      <w:r w:rsidRPr="00EE6634">
        <w:rPr>
          <w:rFonts w:ascii="仿宋" w:eastAsia="仿宋" w:hAnsi="仿宋" w:hint="eastAsia"/>
          <w:sz w:val="32"/>
          <w:szCs w:val="32"/>
        </w:rPr>
        <w:t>元，比上年增长</w:t>
      </w:r>
      <w:r w:rsidR="008C0654" w:rsidRPr="00EE6634">
        <w:rPr>
          <w:rFonts w:ascii="仿宋" w:eastAsia="仿宋" w:hAnsi="仿宋" w:hint="eastAsia"/>
          <w:sz w:val="32"/>
          <w:szCs w:val="32"/>
        </w:rPr>
        <w:t>7.4</w:t>
      </w:r>
      <w:r w:rsidRPr="00EE6634">
        <w:rPr>
          <w:rFonts w:ascii="仿宋" w:eastAsia="仿宋" w:hAnsi="仿宋" w:hint="eastAsia"/>
          <w:sz w:val="32"/>
          <w:szCs w:val="32"/>
        </w:rPr>
        <w:t>%。全年农村牧区常住居民人均可支配收入</w:t>
      </w:r>
      <w:r w:rsidR="008C0654" w:rsidRPr="00EE6634">
        <w:rPr>
          <w:rFonts w:ascii="仿宋" w:eastAsia="仿宋" w:hAnsi="仿宋" w:hint="eastAsia"/>
          <w:sz w:val="32"/>
          <w:szCs w:val="32"/>
        </w:rPr>
        <w:t>10444</w:t>
      </w:r>
      <w:r w:rsidRPr="00EE6634">
        <w:rPr>
          <w:rFonts w:ascii="仿宋" w:eastAsia="仿宋" w:hAnsi="仿宋" w:hint="eastAsia"/>
          <w:sz w:val="32"/>
          <w:szCs w:val="32"/>
        </w:rPr>
        <w:t>元，比上年增长</w:t>
      </w:r>
      <w:r w:rsidR="007233C0" w:rsidRPr="00EE6634">
        <w:rPr>
          <w:rFonts w:ascii="仿宋" w:eastAsia="仿宋" w:hAnsi="仿宋" w:hint="eastAsia"/>
          <w:sz w:val="32"/>
          <w:szCs w:val="32"/>
        </w:rPr>
        <w:t>12.6</w:t>
      </w:r>
      <w:r w:rsidRPr="00EE6634">
        <w:rPr>
          <w:rFonts w:ascii="仿宋" w:eastAsia="仿宋" w:hAnsi="仿宋" w:hint="eastAsia"/>
          <w:sz w:val="32"/>
          <w:szCs w:val="32"/>
        </w:rPr>
        <w:t>%。</w:t>
      </w:r>
    </w:p>
    <w:p w:rsidR="007569A1" w:rsidRPr="00EE6634" w:rsidRDefault="008C0654">
      <w:pPr>
        <w:rPr>
          <w:rFonts w:ascii="仿宋" w:eastAsia="仿宋" w:hAnsi="仿宋"/>
          <w:sz w:val="32"/>
          <w:szCs w:val="32"/>
        </w:rPr>
      </w:pPr>
      <w:r w:rsidRPr="00EE6634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400040" cy="2471268"/>
            <wp:effectExtent l="19050" t="0" r="10160" b="5232"/>
            <wp:docPr id="5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569A1" w:rsidRPr="00EE6634" w:rsidRDefault="001B1A4A">
      <w:pPr>
        <w:spacing w:line="360" w:lineRule="auto"/>
        <w:ind w:rightChars="-1" w:right="-2" w:firstLineChars="206" w:firstLine="659"/>
        <w:jc w:val="both"/>
        <w:rPr>
          <w:rFonts w:ascii="仿宋" w:eastAsia="仿宋" w:hAnsi="仿宋"/>
          <w:sz w:val="32"/>
          <w:szCs w:val="32"/>
        </w:rPr>
      </w:pPr>
      <w:r w:rsidRPr="00EE6634">
        <w:rPr>
          <w:rFonts w:ascii="仿宋" w:eastAsia="仿宋" w:hAnsi="仿宋" w:hint="eastAsia"/>
          <w:sz w:val="32"/>
          <w:szCs w:val="32"/>
        </w:rPr>
        <w:t>年末参加基本养老保险的职工</w:t>
      </w:r>
      <w:r w:rsidR="00B47A03" w:rsidRPr="00EE6634">
        <w:rPr>
          <w:rFonts w:ascii="宋体" w:eastAsia="宋体" w:hAnsi="宋体" w:cs="宋体" w:hint="eastAsia"/>
          <w:sz w:val="32"/>
          <w:szCs w:val="32"/>
        </w:rPr>
        <w:t>4832</w:t>
      </w:r>
      <w:r w:rsidRPr="00EE6634">
        <w:rPr>
          <w:rFonts w:ascii="仿宋" w:eastAsia="仿宋" w:hAnsi="仿宋" w:hint="eastAsia"/>
          <w:sz w:val="32"/>
          <w:szCs w:val="32"/>
        </w:rPr>
        <w:t>人,参加基本养老保险的离退休人员</w:t>
      </w:r>
      <w:r w:rsidR="00B47A03" w:rsidRPr="00EE6634">
        <w:rPr>
          <w:rFonts w:ascii="宋体" w:eastAsia="宋体" w:hAnsi="宋体" w:cs="宋体" w:hint="eastAsia"/>
          <w:sz w:val="32"/>
          <w:szCs w:val="32"/>
        </w:rPr>
        <w:t>7807</w:t>
      </w:r>
      <w:r w:rsidRPr="00EE6634">
        <w:rPr>
          <w:rFonts w:ascii="仿宋" w:eastAsia="仿宋" w:hAnsi="仿宋" w:hint="eastAsia"/>
          <w:sz w:val="32"/>
          <w:szCs w:val="32"/>
        </w:rPr>
        <w:t>人。全市城镇基本医疗保险参保人数</w:t>
      </w:r>
      <w:r w:rsidR="00B47A03" w:rsidRPr="00EE6634">
        <w:rPr>
          <w:rFonts w:ascii="仿宋" w:eastAsia="仿宋" w:hAnsi="仿宋" w:hint="eastAsia"/>
          <w:sz w:val="32"/>
          <w:szCs w:val="32"/>
        </w:rPr>
        <w:t>40467</w:t>
      </w:r>
      <w:r w:rsidRPr="00EE6634">
        <w:rPr>
          <w:rFonts w:ascii="仿宋" w:eastAsia="仿宋" w:hAnsi="仿宋" w:hint="eastAsia"/>
          <w:sz w:val="32"/>
          <w:szCs w:val="32"/>
        </w:rPr>
        <w:t>人。其中，参加基本医疗保险的退休人员5055人，与上年持平。全市失业保险参保人数6200人。工伤保险参保人数6190人。生育保险参保人数8927人。城镇居民最低生活</w:t>
      </w:r>
      <w:r w:rsidRPr="00EE6634">
        <w:rPr>
          <w:rFonts w:ascii="仿宋" w:eastAsia="仿宋" w:hAnsi="仿宋" w:hint="eastAsia"/>
          <w:sz w:val="32"/>
          <w:szCs w:val="32"/>
        </w:rPr>
        <w:lastRenderedPageBreak/>
        <w:t>保障人数达</w:t>
      </w:r>
      <w:r w:rsidR="00B47A03" w:rsidRPr="00EE6634">
        <w:rPr>
          <w:rFonts w:ascii="仿宋" w:eastAsia="仿宋" w:hAnsi="仿宋" w:hint="eastAsia"/>
          <w:sz w:val="32"/>
          <w:szCs w:val="32"/>
        </w:rPr>
        <w:t>2227</w:t>
      </w:r>
      <w:r w:rsidRPr="00EE6634">
        <w:rPr>
          <w:rFonts w:ascii="仿宋" w:eastAsia="仿宋" w:hAnsi="仿宋" w:hint="eastAsia"/>
          <w:sz w:val="32"/>
          <w:szCs w:val="32"/>
        </w:rPr>
        <w:t>户、</w:t>
      </w:r>
      <w:r w:rsidR="00B47A03" w:rsidRPr="00EE6634">
        <w:rPr>
          <w:rFonts w:ascii="仿宋" w:eastAsia="仿宋" w:hAnsi="仿宋" w:hint="eastAsia"/>
          <w:sz w:val="32"/>
          <w:szCs w:val="32"/>
        </w:rPr>
        <w:t>3197</w:t>
      </w:r>
      <w:r w:rsidRPr="00EE6634">
        <w:rPr>
          <w:rFonts w:ascii="仿宋" w:eastAsia="仿宋" w:hAnsi="仿宋" w:hint="eastAsia"/>
          <w:sz w:val="32"/>
          <w:szCs w:val="32"/>
        </w:rPr>
        <w:t>人, 比上年减少</w:t>
      </w:r>
      <w:r w:rsidR="00B47A03" w:rsidRPr="00EE6634">
        <w:rPr>
          <w:rFonts w:ascii="仿宋" w:eastAsia="仿宋" w:hAnsi="仿宋" w:hint="eastAsia"/>
          <w:sz w:val="32"/>
          <w:szCs w:val="32"/>
        </w:rPr>
        <w:t>883</w:t>
      </w:r>
      <w:r w:rsidRPr="00EE6634">
        <w:rPr>
          <w:rFonts w:ascii="仿宋" w:eastAsia="仿宋" w:hAnsi="仿宋" w:hint="eastAsia"/>
          <w:sz w:val="32"/>
          <w:szCs w:val="32"/>
        </w:rPr>
        <w:t>户、</w:t>
      </w:r>
      <w:r w:rsidR="00BE74C8" w:rsidRPr="00EE6634">
        <w:rPr>
          <w:rFonts w:ascii="仿宋" w:eastAsia="仿宋" w:hAnsi="仿宋" w:hint="eastAsia"/>
          <w:sz w:val="32"/>
          <w:szCs w:val="32"/>
        </w:rPr>
        <w:t>1388</w:t>
      </w:r>
      <w:r w:rsidRPr="00EE6634">
        <w:rPr>
          <w:rFonts w:ascii="仿宋" w:eastAsia="仿宋" w:hAnsi="仿宋" w:hint="eastAsia"/>
          <w:sz w:val="32"/>
          <w:szCs w:val="32"/>
        </w:rPr>
        <w:t>人，共发放最低生活保障金</w:t>
      </w:r>
      <w:r w:rsidR="00BE74C8" w:rsidRPr="00EE6634">
        <w:rPr>
          <w:rFonts w:ascii="仿宋" w:eastAsia="仿宋" w:hAnsi="仿宋" w:hint="eastAsia"/>
          <w:sz w:val="32"/>
          <w:szCs w:val="32"/>
        </w:rPr>
        <w:t>2705.6</w:t>
      </w:r>
      <w:r w:rsidRPr="00EE6634">
        <w:rPr>
          <w:rFonts w:ascii="仿宋" w:eastAsia="仿宋" w:hAnsi="仿宋" w:hint="eastAsia"/>
          <w:sz w:val="32"/>
          <w:szCs w:val="32"/>
        </w:rPr>
        <w:t>万元。</w:t>
      </w:r>
    </w:p>
    <w:p w:rsidR="007569A1" w:rsidRPr="00EE6634" w:rsidRDefault="001B1A4A">
      <w:pPr>
        <w:spacing w:line="360" w:lineRule="auto"/>
        <w:ind w:rightChars="-1" w:right="-2" w:firstLineChars="206" w:firstLine="662"/>
        <w:jc w:val="both"/>
        <w:rPr>
          <w:rFonts w:ascii="仿宋" w:eastAsia="仿宋" w:hAnsi="仿宋"/>
          <w:b/>
          <w:sz w:val="32"/>
          <w:szCs w:val="32"/>
        </w:rPr>
      </w:pPr>
      <w:r w:rsidRPr="00EE6634">
        <w:rPr>
          <w:rFonts w:ascii="仿宋" w:eastAsia="仿宋" w:hAnsi="仿宋" w:hint="eastAsia"/>
          <w:b/>
          <w:sz w:val="32"/>
          <w:szCs w:val="32"/>
        </w:rPr>
        <w:t>十一、环境保护</w:t>
      </w:r>
    </w:p>
    <w:p w:rsidR="007569A1" w:rsidRPr="00EE6634" w:rsidRDefault="001B1A4A">
      <w:pPr>
        <w:spacing w:line="360" w:lineRule="auto"/>
        <w:ind w:rightChars="-1" w:right="-2" w:firstLineChars="206" w:firstLine="659"/>
        <w:jc w:val="both"/>
        <w:rPr>
          <w:rFonts w:ascii="仿宋" w:eastAsia="仿宋" w:hAnsi="仿宋"/>
          <w:sz w:val="32"/>
          <w:szCs w:val="32"/>
        </w:rPr>
      </w:pPr>
      <w:r w:rsidRPr="00EE6634">
        <w:rPr>
          <w:rFonts w:ascii="仿宋" w:eastAsia="仿宋" w:hAnsi="仿宋" w:hint="eastAsia"/>
          <w:sz w:val="32"/>
          <w:szCs w:val="32"/>
        </w:rPr>
        <w:t>全年完成营造林</w:t>
      </w:r>
      <w:r w:rsidR="004331B8" w:rsidRPr="00EE6634">
        <w:rPr>
          <w:rFonts w:ascii="仿宋" w:eastAsia="仿宋" w:hAnsi="仿宋" w:hint="eastAsia"/>
          <w:sz w:val="32"/>
          <w:szCs w:val="32"/>
        </w:rPr>
        <w:t>5336</w:t>
      </w:r>
      <w:r w:rsidRPr="00EE6634">
        <w:rPr>
          <w:rFonts w:ascii="仿宋" w:eastAsia="仿宋" w:hAnsi="仿宋" w:hint="eastAsia"/>
          <w:sz w:val="32"/>
          <w:szCs w:val="32"/>
        </w:rPr>
        <w:t>公顷，其中，人工造林</w:t>
      </w:r>
      <w:r w:rsidR="004331B8" w:rsidRPr="00EE6634">
        <w:rPr>
          <w:rFonts w:ascii="仿宋" w:eastAsia="仿宋" w:hAnsi="仿宋" w:hint="eastAsia"/>
          <w:sz w:val="32"/>
          <w:szCs w:val="32"/>
        </w:rPr>
        <w:t>667</w:t>
      </w:r>
      <w:r w:rsidRPr="00EE6634">
        <w:rPr>
          <w:rFonts w:ascii="仿宋" w:eastAsia="仿宋" w:hAnsi="仿宋" w:hint="eastAsia"/>
          <w:sz w:val="32"/>
          <w:szCs w:val="32"/>
        </w:rPr>
        <w:t>公顷，完成“三北”防护林封山育林</w:t>
      </w:r>
      <w:r w:rsidR="004331B8" w:rsidRPr="00EE6634">
        <w:rPr>
          <w:rFonts w:ascii="仿宋" w:eastAsia="仿宋" w:hAnsi="仿宋" w:hint="eastAsia"/>
          <w:sz w:val="32"/>
          <w:szCs w:val="32"/>
        </w:rPr>
        <w:t>2668</w:t>
      </w:r>
      <w:r w:rsidRPr="00EE6634">
        <w:rPr>
          <w:rFonts w:ascii="仿宋" w:eastAsia="仿宋" w:hAnsi="仿宋" w:hint="eastAsia"/>
          <w:sz w:val="32"/>
          <w:szCs w:val="32"/>
        </w:rPr>
        <w:t>公顷，完成森林抚育</w:t>
      </w:r>
      <w:r w:rsidR="004331B8" w:rsidRPr="00EE6634">
        <w:rPr>
          <w:rFonts w:ascii="仿宋" w:eastAsia="仿宋" w:hAnsi="仿宋" w:hint="eastAsia"/>
          <w:sz w:val="32"/>
          <w:szCs w:val="32"/>
        </w:rPr>
        <w:t>2001</w:t>
      </w:r>
      <w:r w:rsidRPr="00EE6634">
        <w:rPr>
          <w:rFonts w:ascii="仿宋" w:eastAsia="仿宋" w:hAnsi="仿宋" w:hint="eastAsia"/>
          <w:sz w:val="32"/>
          <w:szCs w:val="32"/>
        </w:rPr>
        <w:t>公顷。水土保持治理面积</w:t>
      </w:r>
      <w:r w:rsidR="00311431" w:rsidRPr="00EE6634">
        <w:rPr>
          <w:rFonts w:ascii="仿宋" w:eastAsia="仿宋" w:hAnsi="仿宋" w:hint="eastAsia"/>
          <w:sz w:val="32"/>
          <w:szCs w:val="32"/>
        </w:rPr>
        <w:t>4669</w:t>
      </w:r>
      <w:r w:rsidRPr="00EE6634">
        <w:rPr>
          <w:rFonts w:ascii="仿宋" w:eastAsia="仿宋" w:hAnsi="仿宋" w:hint="eastAsia"/>
          <w:sz w:val="32"/>
          <w:szCs w:val="32"/>
        </w:rPr>
        <w:t>公顷。森林面积642333.4公顷，森林覆盖率达81.2%。</w:t>
      </w:r>
    </w:p>
    <w:p w:rsidR="007569A1" w:rsidRPr="00EE6634" w:rsidRDefault="001B1A4A">
      <w:pPr>
        <w:spacing w:line="360" w:lineRule="auto"/>
        <w:ind w:rightChars="-1" w:right="-2" w:firstLineChars="206" w:firstLine="659"/>
        <w:jc w:val="both"/>
        <w:rPr>
          <w:rFonts w:ascii="仿宋" w:eastAsia="仿宋" w:hAnsi="仿宋"/>
          <w:sz w:val="32"/>
          <w:szCs w:val="32"/>
        </w:rPr>
      </w:pPr>
      <w:r w:rsidRPr="00EE6634">
        <w:rPr>
          <w:rFonts w:ascii="仿宋" w:eastAsia="仿宋" w:hAnsi="仿宋" w:hint="eastAsia"/>
          <w:sz w:val="32"/>
          <w:szCs w:val="32"/>
        </w:rPr>
        <w:t>全市确定自然保护区1个。其中：自治区级自然保护区1个。自然保护区面积38567公顷。</w:t>
      </w:r>
    </w:p>
    <w:p w:rsidR="007569A1" w:rsidRPr="00EE6634" w:rsidRDefault="001B1A4A">
      <w:pPr>
        <w:spacing w:line="360" w:lineRule="auto"/>
        <w:ind w:rightChars="-1" w:right="-2" w:firstLineChars="206" w:firstLine="659"/>
        <w:jc w:val="both"/>
        <w:rPr>
          <w:rFonts w:ascii="仿宋" w:eastAsia="仿宋" w:hAnsi="仿宋"/>
          <w:sz w:val="32"/>
          <w:szCs w:val="32"/>
        </w:rPr>
      </w:pPr>
      <w:r w:rsidRPr="00EE6634">
        <w:rPr>
          <w:rFonts w:ascii="仿宋" w:eastAsia="仿宋" w:hAnsi="仿宋" w:hint="eastAsia"/>
          <w:sz w:val="32"/>
          <w:szCs w:val="32"/>
        </w:rPr>
        <w:t>注释：</w:t>
      </w:r>
    </w:p>
    <w:p w:rsidR="007569A1" w:rsidRPr="00EE6634" w:rsidRDefault="001B1A4A">
      <w:pPr>
        <w:spacing w:line="360" w:lineRule="auto"/>
        <w:ind w:rightChars="-1" w:right="-2" w:firstLineChars="206" w:firstLine="659"/>
        <w:jc w:val="both"/>
        <w:rPr>
          <w:rFonts w:ascii="仿宋" w:eastAsia="仿宋" w:hAnsi="仿宋"/>
          <w:sz w:val="32"/>
          <w:szCs w:val="32"/>
        </w:rPr>
      </w:pPr>
      <w:r w:rsidRPr="00EE6634">
        <w:rPr>
          <w:rFonts w:ascii="仿宋" w:eastAsia="仿宋" w:hAnsi="仿宋" w:hint="eastAsia"/>
          <w:sz w:val="32"/>
          <w:szCs w:val="32"/>
        </w:rPr>
        <w:t>1、本公报数为初步统计数，生产总值及分产业增加值绝对数按现价计算，增长速度按可比价格计算。</w:t>
      </w:r>
    </w:p>
    <w:p w:rsidR="007569A1" w:rsidRPr="00EE6634" w:rsidRDefault="001B1A4A">
      <w:pPr>
        <w:spacing w:line="360" w:lineRule="auto"/>
        <w:ind w:rightChars="-1" w:right="-2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E6634">
        <w:rPr>
          <w:rFonts w:ascii="仿宋" w:eastAsia="仿宋" w:hAnsi="仿宋" w:hint="eastAsia"/>
          <w:sz w:val="32"/>
          <w:szCs w:val="32"/>
        </w:rPr>
        <w:t>2、人口自然增长率以公安局提供的相关数据计算并对外发布。</w:t>
      </w:r>
    </w:p>
    <w:p w:rsidR="007569A1" w:rsidRPr="00EE6634" w:rsidRDefault="001B1A4A">
      <w:pPr>
        <w:spacing w:line="360" w:lineRule="auto"/>
        <w:ind w:rightChars="-1" w:right="-2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E6634">
        <w:rPr>
          <w:rFonts w:ascii="仿宋" w:eastAsia="仿宋" w:hAnsi="仿宋" w:hint="eastAsia"/>
          <w:sz w:val="32"/>
          <w:szCs w:val="32"/>
        </w:rPr>
        <w:t>3、森林面积以各林业局实际施业区内的森林面积之和进行计算。</w:t>
      </w:r>
    </w:p>
    <w:p w:rsidR="007569A1" w:rsidRDefault="001B1A4A">
      <w:pPr>
        <w:pStyle w:val="a7"/>
        <w:snapToGrid w:val="0"/>
        <w:spacing w:before="0" w:beforeAutospacing="0" w:after="0" w:afterAutospacing="0" w:line="560" w:lineRule="atLeast"/>
        <w:ind w:firstLine="600"/>
        <w:jc w:val="both"/>
        <w:rPr>
          <w:rFonts w:ascii="仿宋" w:eastAsia="仿宋" w:hAnsi="仿宋" w:cs="Times New Roman"/>
          <w:sz w:val="32"/>
          <w:szCs w:val="32"/>
        </w:rPr>
      </w:pPr>
      <w:r w:rsidRPr="00EE6634">
        <w:rPr>
          <w:rFonts w:ascii="仿宋" w:eastAsia="仿宋" w:hAnsi="仿宋" w:hint="eastAsia"/>
          <w:sz w:val="32"/>
          <w:szCs w:val="32"/>
        </w:rPr>
        <w:t>4、</w:t>
      </w:r>
      <w:r w:rsidRPr="00EE6634">
        <w:rPr>
          <w:rFonts w:ascii="仿宋" w:eastAsia="仿宋" w:hAnsi="仿宋" w:cs="Times New Roman" w:hint="eastAsia"/>
          <w:sz w:val="32"/>
          <w:szCs w:val="32"/>
        </w:rPr>
        <w:t>部分数据因四舍五入的原因，存在着与分项合计不等的情况。</w:t>
      </w:r>
    </w:p>
    <w:sectPr w:rsidR="007569A1" w:rsidSect="007569A1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A35" w:rsidRDefault="00602A35" w:rsidP="007569A1">
      <w:pPr>
        <w:spacing w:after="0"/>
      </w:pPr>
      <w:r>
        <w:separator/>
      </w:r>
    </w:p>
  </w:endnote>
  <w:endnote w:type="continuationSeparator" w:id="0">
    <w:p w:rsidR="00602A35" w:rsidRDefault="00602A35" w:rsidP="007569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9A1" w:rsidRDefault="00410929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1B1A4A">
      <w:rPr>
        <w:rStyle w:val="a8"/>
      </w:rPr>
      <w:instrText xml:space="preserve">PAGE  </w:instrText>
    </w:r>
    <w:r>
      <w:fldChar w:fldCharType="end"/>
    </w:r>
  </w:p>
  <w:p w:rsidR="007569A1" w:rsidRDefault="007569A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9A1" w:rsidRDefault="00410929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1B1A4A">
      <w:rPr>
        <w:rStyle w:val="a8"/>
      </w:rPr>
      <w:instrText xml:space="preserve">PAGE  </w:instrText>
    </w:r>
    <w:r>
      <w:fldChar w:fldCharType="separate"/>
    </w:r>
    <w:r w:rsidR="00EE6634">
      <w:rPr>
        <w:rStyle w:val="a8"/>
        <w:noProof/>
      </w:rPr>
      <w:t>12</w:t>
    </w:r>
    <w:r>
      <w:fldChar w:fldCharType="end"/>
    </w:r>
  </w:p>
  <w:p w:rsidR="007569A1" w:rsidRDefault="007569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A35" w:rsidRDefault="00602A35" w:rsidP="007569A1">
      <w:pPr>
        <w:spacing w:after="0"/>
      </w:pPr>
      <w:r>
        <w:separator/>
      </w:r>
    </w:p>
  </w:footnote>
  <w:footnote w:type="continuationSeparator" w:id="0">
    <w:p w:rsidR="00602A35" w:rsidRDefault="00602A35" w:rsidP="007569A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9A1" w:rsidRDefault="007569A1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9A1" w:rsidRDefault="007569A1">
    <w:pPr>
      <w:pStyle w:val="a6"/>
      <w:pBdr>
        <w:bottom w:val="none" w:sz="0" w:space="0" w:color="auto"/>
      </w:pBdr>
    </w:pPr>
  </w:p>
  <w:p w:rsidR="007569A1" w:rsidRDefault="007569A1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014EDF"/>
    <w:rsid w:val="00027184"/>
    <w:rsid w:val="00034C63"/>
    <w:rsid w:val="00035499"/>
    <w:rsid w:val="00044888"/>
    <w:rsid w:val="000460CF"/>
    <w:rsid w:val="00074FF6"/>
    <w:rsid w:val="00083C5D"/>
    <w:rsid w:val="000868E5"/>
    <w:rsid w:val="00092DFF"/>
    <w:rsid w:val="000968D7"/>
    <w:rsid w:val="000B0E01"/>
    <w:rsid w:val="000C2C10"/>
    <w:rsid w:val="000C2D80"/>
    <w:rsid w:val="000C44DF"/>
    <w:rsid w:val="000D4DEF"/>
    <w:rsid w:val="000F03DB"/>
    <w:rsid w:val="000F33A0"/>
    <w:rsid w:val="000F75F5"/>
    <w:rsid w:val="0010547B"/>
    <w:rsid w:val="001227B5"/>
    <w:rsid w:val="00123F62"/>
    <w:rsid w:val="00124268"/>
    <w:rsid w:val="00124F33"/>
    <w:rsid w:val="0014000B"/>
    <w:rsid w:val="00140B9E"/>
    <w:rsid w:val="00150ACF"/>
    <w:rsid w:val="00151552"/>
    <w:rsid w:val="001604FB"/>
    <w:rsid w:val="0016517E"/>
    <w:rsid w:val="00180836"/>
    <w:rsid w:val="001B1A4A"/>
    <w:rsid w:val="001B42BE"/>
    <w:rsid w:val="001D02CD"/>
    <w:rsid w:val="001E2378"/>
    <w:rsid w:val="00233A94"/>
    <w:rsid w:val="00255122"/>
    <w:rsid w:val="00263726"/>
    <w:rsid w:val="002656F9"/>
    <w:rsid w:val="00274AF2"/>
    <w:rsid w:val="00277A32"/>
    <w:rsid w:val="002805C9"/>
    <w:rsid w:val="002824E2"/>
    <w:rsid w:val="00285F30"/>
    <w:rsid w:val="002A12C2"/>
    <w:rsid w:val="002A13DB"/>
    <w:rsid w:val="002A4769"/>
    <w:rsid w:val="002B6325"/>
    <w:rsid w:val="002F1927"/>
    <w:rsid w:val="00311431"/>
    <w:rsid w:val="00312E8A"/>
    <w:rsid w:val="003172BF"/>
    <w:rsid w:val="00321269"/>
    <w:rsid w:val="00323B43"/>
    <w:rsid w:val="00324102"/>
    <w:rsid w:val="00333F23"/>
    <w:rsid w:val="00335540"/>
    <w:rsid w:val="00351C74"/>
    <w:rsid w:val="0036050B"/>
    <w:rsid w:val="00363AF7"/>
    <w:rsid w:val="00363E40"/>
    <w:rsid w:val="003730D8"/>
    <w:rsid w:val="003864AC"/>
    <w:rsid w:val="003A1935"/>
    <w:rsid w:val="003A6844"/>
    <w:rsid w:val="003A70A8"/>
    <w:rsid w:val="003B37E5"/>
    <w:rsid w:val="003C69E1"/>
    <w:rsid w:val="003C703C"/>
    <w:rsid w:val="003D37D8"/>
    <w:rsid w:val="003F1D9A"/>
    <w:rsid w:val="003F3967"/>
    <w:rsid w:val="00410929"/>
    <w:rsid w:val="00414601"/>
    <w:rsid w:val="00414953"/>
    <w:rsid w:val="00423A27"/>
    <w:rsid w:val="00426133"/>
    <w:rsid w:val="00432DEB"/>
    <w:rsid w:val="004331B8"/>
    <w:rsid w:val="004339CE"/>
    <w:rsid w:val="004358AB"/>
    <w:rsid w:val="00435DBB"/>
    <w:rsid w:val="00437636"/>
    <w:rsid w:val="0044184B"/>
    <w:rsid w:val="00442CFD"/>
    <w:rsid w:val="0044541E"/>
    <w:rsid w:val="00455AF2"/>
    <w:rsid w:val="00464EC6"/>
    <w:rsid w:val="004656F1"/>
    <w:rsid w:val="0047025B"/>
    <w:rsid w:val="00486ECA"/>
    <w:rsid w:val="00487475"/>
    <w:rsid w:val="00493D6F"/>
    <w:rsid w:val="00495828"/>
    <w:rsid w:val="004A14EC"/>
    <w:rsid w:val="004B5A93"/>
    <w:rsid w:val="004B608F"/>
    <w:rsid w:val="004D1C17"/>
    <w:rsid w:val="005002FB"/>
    <w:rsid w:val="00505A2A"/>
    <w:rsid w:val="005111FA"/>
    <w:rsid w:val="0051180A"/>
    <w:rsid w:val="00516071"/>
    <w:rsid w:val="00526B79"/>
    <w:rsid w:val="00535EAB"/>
    <w:rsid w:val="00567463"/>
    <w:rsid w:val="0056749E"/>
    <w:rsid w:val="00574D52"/>
    <w:rsid w:val="00580DD4"/>
    <w:rsid w:val="005A37F9"/>
    <w:rsid w:val="005A7111"/>
    <w:rsid w:val="005A72F5"/>
    <w:rsid w:val="005B6FB3"/>
    <w:rsid w:val="005B7DB6"/>
    <w:rsid w:val="005D5550"/>
    <w:rsid w:val="005E2E6E"/>
    <w:rsid w:val="005F0245"/>
    <w:rsid w:val="005F09F8"/>
    <w:rsid w:val="005F204D"/>
    <w:rsid w:val="00602A35"/>
    <w:rsid w:val="00610225"/>
    <w:rsid w:val="00622F33"/>
    <w:rsid w:val="00625862"/>
    <w:rsid w:val="00630ED9"/>
    <w:rsid w:val="00631904"/>
    <w:rsid w:val="0063199F"/>
    <w:rsid w:val="00643989"/>
    <w:rsid w:val="00647E1A"/>
    <w:rsid w:val="00653E28"/>
    <w:rsid w:val="006564E0"/>
    <w:rsid w:val="00672C80"/>
    <w:rsid w:val="00683A10"/>
    <w:rsid w:val="006840C5"/>
    <w:rsid w:val="006843E3"/>
    <w:rsid w:val="00687E7D"/>
    <w:rsid w:val="00696761"/>
    <w:rsid w:val="006A2628"/>
    <w:rsid w:val="006C018C"/>
    <w:rsid w:val="006C0D78"/>
    <w:rsid w:val="006D4F74"/>
    <w:rsid w:val="006D6320"/>
    <w:rsid w:val="006D768B"/>
    <w:rsid w:val="006E100A"/>
    <w:rsid w:val="006F146B"/>
    <w:rsid w:val="00701D23"/>
    <w:rsid w:val="007028BF"/>
    <w:rsid w:val="007068DF"/>
    <w:rsid w:val="00722A3A"/>
    <w:rsid w:val="007233C0"/>
    <w:rsid w:val="007311B6"/>
    <w:rsid w:val="007328E3"/>
    <w:rsid w:val="007364E4"/>
    <w:rsid w:val="0073732A"/>
    <w:rsid w:val="007418D3"/>
    <w:rsid w:val="0074472F"/>
    <w:rsid w:val="00752908"/>
    <w:rsid w:val="007555D8"/>
    <w:rsid w:val="007569A1"/>
    <w:rsid w:val="00776662"/>
    <w:rsid w:val="00781C8C"/>
    <w:rsid w:val="00786393"/>
    <w:rsid w:val="007B05E5"/>
    <w:rsid w:val="007B3AB5"/>
    <w:rsid w:val="007B569B"/>
    <w:rsid w:val="007B7654"/>
    <w:rsid w:val="007D17CD"/>
    <w:rsid w:val="007D6B2A"/>
    <w:rsid w:val="007E641C"/>
    <w:rsid w:val="007E67C4"/>
    <w:rsid w:val="0080047E"/>
    <w:rsid w:val="00800AB3"/>
    <w:rsid w:val="00806029"/>
    <w:rsid w:val="00845023"/>
    <w:rsid w:val="008672A0"/>
    <w:rsid w:val="00874CF6"/>
    <w:rsid w:val="00875CDD"/>
    <w:rsid w:val="0089141E"/>
    <w:rsid w:val="008A1DC4"/>
    <w:rsid w:val="008A2D90"/>
    <w:rsid w:val="008A7C59"/>
    <w:rsid w:val="008B0B29"/>
    <w:rsid w:val="008B51DF"/>
    <w:rsid w:val="008B7726"/>
    <w:rsid w:val="008B77A2"/>
    <w:rsid w:val="008C0654"/>
    <w:rsid w:val="008C3B7D"/>
    <w:rsid w:val="008D5E5E"/>
    <w:rsid w:val="008E0622"/>
    <w:rsid w:val="008E74E1"/>
    <w:rsid w:val="008F5D1C"/>
    <w:rsid w:val="00900419"/>
    <w:rsid w:val="00903441"/>
    <w:rsid w:val="00912981"/>
    <w:rsid w:val="00932AFC"/>
    <w:rsid w:val="00936728"/>
    <w:rsid w:val="009436D8"/>
    <w:rsid w:val="0094420C"/>
    <w:rsid w:val="00945609"/>
    <w:rsid w:val="00947FC8"/>
    <w:rsid w:val="00966267"/>
    <w:rsid w:val="0097258C"/>
    <w:rsid w:val="00974980"/>
    <w:rsid w:val="009753C5"/>
    <w:rsid w:val="0097782B"/>
    <w:rsid w:val="0098453A"/>
    <w:rsid w:val="009868DA"/>
    <w:rsid w:val="009B00A6"/>
    <w:rsid w:val="009C2A25"/>
    <w:rsid w:val="009D2D41"/>
    <w:rsid w:val="009E54BB"/>
    <w:rsid w:val="00A05BE6"/>
    <w:rsid w:val="00A12C3F"/>
    <w:rsid w:val="00A2008B"/>
    <w:rsid w:val="00A230F5"/>
    <w:rsid w:val="00A2767F"/>
    <w:rsid w:val="00A359A5"/>
    <w:rsid w:val="00A52F85"/>
    <w:rsid w:val="00A54B1B"/>
    <w:rsid w:val="00A605B6"/>
    <w:rsid w:val="00A7028A"/>
    <w:rsid w:val="00A80635"/>
    <w:rsid w:val="00A85EAA"/>
    <w:rsid w:val="00A90D07"/>
    <w:rsid w:val="00AA3976"/>
    <w:rsid w:val="00AA39E8"/>
    <w:rsid w:val="00AB096F"/>
    <w:rsid w:val="00AB7ED5"/>
    <w:rsid w:val="00AC1CA2"/>
    <w:rsid w:val="00AC3A6B"/>
    <w:rsid w:val="00AC6013"/>
    <w:rsid w:val="00AD2F55"/>
    <w:rsid w:val="00AD60CF"/>
    <w:rsid w:val="00B0143B"/>
    <w:rsid w:val="00B02AB6"/>
    <w:rsid w:val="00B119A4"/>
    <w:rsid w:val="00B255AF"/>
    <w:rsid w:val="00B47A03"/>
    <w:rsid w:val="00B753E9"/>
    <w:rsid w:val="00B857EC"/>
    <w:rsid w:val="00B870F2"/>
    <w:rsid w:val="00B9707D"/>
    <w:rsid w:val="00BA34BE"/>
    <w:rsid w:val="00BB01B8"/>
    <w:rsid w:val="00BB31F8"/>
    <w:rsid w:val="00BB7E91"/>
    <w:rsid w:val="00BC04E7"/>
    <w:rsid w:val="00BC167F"/>
    <w:rsid w:val="00BC50C9"/>
    <w:rsid w:val="00BD3F31"/>
    <w:rsid w:val="00BE0F0C"/>
    <w:rsid w:val="00BE2C10"/>
    <w:rsid w:val="00BE2C40"/>
    <w:rsid w:val="00BE74C8"/>
    <w:rsid w:val="00BE78D4"/>
    <w:rsid w:val="00C0259F"/>
    <w:rsid w:val="00C04B79"/>
    <w:rsid w:val="00C123D1"/>
    <w:rsid w:val="00C17031"/>
    <w:rsid w:val="00C208BE"/>
    <w:rsid w:val="00C40DB8"/>
    <w:rsid w:val="00C42250"/>
    <w:rsid w:val="00C55744"/>
    <w:rsid w:val="00C569C2"/>
    <w:rsid w:val="00C62D55"/>
    <w:rsid w:val="00C76D75"/>
    <w:rsid w:val="00C81124"/>
    <w:rsid w:val="00CB3E07"/>
    <w:rsid w:val="00CB7117"/>
    <w:rsid w:val="00CC14EB"/>
    <w:rsid w:val="00CC1F65"/>
    <w:rsid w:val="00CD0949"/>
    <w:rsid w:val="00CE3BD4"/>
    <w:rsid w:val="00CE730E"/>
    <w:rsid w:val="00CF4590"/>
    <w:rsid w:val="00CF6F55"/>
    <w:rsid w:val="00D005A9"/>
    <w:rsid w:val="00D008E1"/>
    <w:rsid w:val="00D01C54"/>
    <w:rsid w:val="00D07D6A"/>
    <w:rsid w:val="00D23879"/>
    <w:rsid w:val="00D31D50"/>
    <w:rsid w:val="00D434B6"/>
    <w:rsid w:val="00D4779B"/>
    <w:rsid w:val="00D477FB"/>
    <w:rsid w:val="00D61154"/>
    <w:rsid w:val="00D82B64"/>
    <w:rsid w:val="00D84145"/>
    <w:rsid w:val="00D932B7"/>
    <w:rsid w:val="00DA0D72"/>
    <w:rsid w:val="00DA623D"/>
    <w:rsid w:val="00DC3AB6"/>
    <w:rsid w:val="00DD36B3"/>
    <w:rsid w:val="00DE2E89"/>
    <w:rsid w:val="00DE623B"/>
    <w:rsid w:val="00DF0E33"/>
    <w:rsid w:val="00DF610F"/>
    <w:rsid w:val="00E04BC6"/>
    <w:rsid w:val="00E275C0"/>
    <w:rsid w:val="00E31980"/>
    <w:rsid w:val="00E66077"/>
    <w:rsid w:val="00E6716F"/>
    <w:rsid w:val="00E70259"/>
    <w:rsid w:val="00E7666B"/>
    <w:rsid w:val="00E80062"/>
    <w:rsid w:val="00E85C5E"/>
    <w:rsid w:val="00E87447"/>
    <w:rsid w:val="00E9484E"/>
    <w:rsid w:val="00EA28A4"/>
    <w:rsid w:val="00EB5F6B"/>
    <w:rsid w:val="00EC1190"/>
    <w:rsid w:val="00ED0213"/>
    <w:rsid w:val="00ED628A"/>
    <w:rsid w:val="00EE6634"/>
    <w:rsid w:val="00EF64DD"/>
    <w:rsid w:val="00EF6999"/>
    <w:rsid w:val="00F007A6"/>
    <w:rsid w:val="00F00998"/>
    <w:rsid w:val="00F20D7A"/>
    <w:rsid w:val="00F251B8"/>
    <w:rsid w:val="00F30A8D"/>
    <w:rsid w:val="00F3467B"/>
    <w:rsid w:val="00F362A2"/>
    <w:rsid w:val="00F40D24"/>
    <w:rsid w:val="00F447BA"/>
    <w:rsid w:val="00F62279"/>
    <w:rsid w:val="00F62D33"/>
    <w:rsid w:val="00F72E6A"/>
    <w:rsid w:val="00F7578C"/>
    <w:rsid w:val="00F803AA"/>
    <w:rsid w:val="00F839D9"/>
    <w:rsid w:val="00F9358F"/>
    <w:rsid w:val="00FA150B"/>
    <w:rsid w:val="00FA1824"/>
    <w:rsid w:val="00FA2C89"/>
    <w:rsid w:val="00FA4C44"/>
    <w:rsid w:val="00FB06BD"/>
    <w:rsid w:val="00FB3E01"/>
    <w:rsid w:val="00FB43F2"/>
    <w:rsid w:val="00FC0B62"/>
    <w:rsid w:val="00FC0C58"/>
    <w:rsid w:val="00FC12A7"/>
    <w:rsid w:val="00FE1944"/>
    <w:rsid w:val="00FE1FB0"/>
    <w:rsid w:val="02942C0C"/>
    <w:rsid w:val="077846EB"/>
    <w:rsid w:val="0B4F433F"/>
    <w:rsid w:val="0B8F79DD"/>
    <w:rsid w:val="0EE03EF8"/>
    <w:rsid w:val="109B23FB"/>
    <w:rsid w:val="146A6ED4"/>
    <w:rsid w:val="15D24DCC"/>
    <w:rsid w:val="15EF39A4"/>
    <w:rsid w:val="179A3328"/>
    <w:rsid w:val="182B71F7"/>
    <w:rsid w:val="19FB02B2"/>
    <w:rsid w:val="1A3072A7"/>
    <w:rsid w:val="1D521AB7"/>
    <w:rsid w:val="1E823890"/>
    <w:rsid w:val="20D842A5"/>
    <w:rsid w:val="211966FD"/>
    <w:rsid w:val="26481503"/>
    <w:rsid w:val="275F1F54"/>
    <w:rsid w:val="292C45E2"/>
    <w:rsid w:val="299338D0"/>
    <w:rsid w:val="2E4C16FD"/>
    <w:rsid w:val="30B34627"/>
    <w:rsid w:val="30FC0F3B"/>
    <w:rsid w:val="312447DD"/>
    <w:rsid w:val="31545C75"/>
    <w:rsid w:val="336223D0"/>
    <w:rsid w:val="33D36440"/>
    <w:rsid w:val="33F114F3"/>
    <w:rsid w:val="34C2686A"/>
    <w:rsid w:val="385A373C"/>
    <w:rsid w:val="38FA51C7"/>
    <w:rsid w:val="39E808F0"/>
    <w:rsid w:val="3F8061AC"/>
    <w:rsid w:val="3FE91038"/>
    <w:rsid w:val="424D0305"/>
    <w:rsid w:val="443176F5"/>
    <w:rsid w:val="45217D71"/>
    <w:rsid w:val="45DF2AA5"/>
    <w:rsid w:val="467E1F4A"/>
    <w:rsid w:val="47513AF1"/>
    <w:rsid w:val="47894E6F"/>
    <w:rsid w:val="4B25554F"/>
    <w:rsid w:val="4FAF77E6"/>
    <w:rsid w:val="57741D4B"/>
    <w:rsid w:val="5888630A"/>
    <w:rsid w:val="58CC77E8"/>
    <w:rsid w:val="5CC71E71"/>
    <w:rsid w:val="5DCC432B"/>
    <w:rsid w:val="65EE4180"/>
    <w:rsid w:val="67E7470C"/>
    <w:rsid w:val="68F950ED"/>
    <w:rsid w:val="6A0D2B67"/>
    <w:rsid w:val="6B64546B"/>
    <w:rsid w:val="6B9917AC"/>
    <w:rsid w:val="6F1F73E3"/>
    <w:rsid w:val="70587A16"/>
    <w:rsid w:val="74A33A69"/>
    <w:rsid w:val="762A1FA3"/>
    <w:rsid w:val="77966075"/>
    <w:rsid w:val="78A76EB0"/>
    <w:rsid w:val="7B02704F"/>
    <w:rsid w:val="7D720788"/>
    <w:rsid w:val="7F94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semiHidden="0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A1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569A1"/>
    <w:rPr>
      <w:rFonts w:asciiTheme="majorHAnsi" w:eastAsia="黑体" w:hAnsiTheme="majorHAnsi" w:cstheme="majorBidi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sid w:val="007569A1"/>
    <w:pPr>
      <w:spacing w:after="0"/>
    </w:pPr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7569A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1"/>
    <w:unhideWhenUsed/>
    <w:qFormat/>
    <w:rsid w:val="007569A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7569A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page number"/>
    <w:basedOn w:val="a0"/>
    <w:qFormat/>
    <w:rsid w:val="007569A1"/>
  </w:style>
  <w:style w:type="character" w:styleId="a9">
    <w:name w:val="Hyperlink"/>
    <w:basedOn w:val="a0"/>
    <w:qFormat/>
    <w:rsid w:val="007569A1"/>
    <w:rPr>
      <w:color w:val="0000FF"/>
      <w:u w:val="single"/>
    </w:rPr>
  </w:style>
  <w:style w:type="character" w:customStyle="1" w:styleId="Char1">
    <w:name w:val="页眉 Char"/>
    <w:basedOn w:val="a0"/>
    <w:link w:val="a6"/>
    <w:uiPriority w:val="99"/>
    <w:semiHidden/>
    <w:qFormat/>
    <w:rsid w:val="007569A1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7569A1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7569A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ike.sososteel.com/doc/view/68882.html" TargetMode="Externa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&#25253;&#34920;\2019\&#20844;&#25253;&#22270;&#34920;&#25968;&#25454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E:\&#25253;&#34920;\2019\&#20844;&#25253;&#22270;&#34920;&#25968;&#25454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E:\&#25253;&#34920;\2019\&#20844;&#25253;&#22270;&#34920;&#25968;&#25454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E:\&#25253;&#34920;\2019\&#20844;&#25253;&#22270;&#34920;&#25968;&#25454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E:\&#25253;&#34920;\2019\&#20844;&#25253;&#22270;&#34920;&#25968;&#25454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E:\&#25253;&#34920;\2019\&#20844;&#25253;&#22270;&#34920;&#25968;&#2545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600"/>
              <a:t>2018</a:t>
            </a:r>
            <a:r>
              <a:rPr lang="zh-CN" sz="1600"/>
              <a:t>年地区生产总值</a:t>
            </a:r>
            <a:r>
              <a:rPr lang="zh-CN" altLang="en-US" sz="1600"/>
              <a:t>总量</a:t>
            </a:r>
            <a:r>
              <a:rPr lang="zh-CN" sz="1600"/>
              <a:t>及增速（季度累计）</a:t>
            </a:r>
          </a:p>
        </c:rich>
      </c:tx>
      <c:layout>
        <c:manualLayout>
          <c:xMode val="edge"/>
          <c:yMode val="edge"/>
          <c:x val="0.26112800206332593"/>
          <c:y val="3.5593841368120098E-4"/>
        </c:manualLayout>
      </c:layout>
    </c:title>
    <c:plotArea>
      <c:layout/>
      <c:barChart>
        <c:barDir val="col"/>
        <c:grouping val="stacked"/>
        <c:ser>
          <c:idx val="0"/>
          <c:order val="0"/>
          <c:tx>
            <c:strRef>
              <c:f>Sheet1!$B$2</c:f>
              <c:strCache>
                <c:ptCount val="1"/>
                <c:pt idx="0">
                  <c:v>总量（万元）</c:v>
                </c:pt>
              </c:strCache>
            </c:strRef>
          </c:tx>
          <c:spPr>
            <a:gradFill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5400000" scaled="0"/>
            </a:gradFill>
            <a:ln>
              <a:gradFill>
                <a:gsLst>
                  <a:gs pos="0">
                    <a:srgbClr val="8488C4"/>
                  </a:gs>
                  <a:gs pos="53000">
                    <a:srgbClr val="D4DEFF"/>
                  </a:gs>
                  <a:gs pos="83000">
                    <a:srgbClr val="D4DEFF"/>
                  </a:gs>
                  <a:gs pos="100000">
                    <a:srgbClr val="96AB94"/>
                  </a:gs>
                </a:gsLst>
                <a:lin ang="5400000" scaled="0"/>
              </a:gradFill>
            </a:ln>
            <a:scene3d>
              <a:camera prst="orthographicFront"/>
              <a:lightRig rig="threePt" dir="t"/>
            </a:scene3d>
            <a:sp3d prstMaterial="plastic">
              <a:bevelT w="114300" prst="artDeco"/>
              <a:bevelB w="139700" h="139700" prst="divot"/>
            </a:sp3d>
          </c:spPr>
          <c:dLbls>
            <c:dLbl>
              <c:idx val="0"/>
              <c:layout>
                <c:manualLayout>
                  <c:x val="-2.4077799523614853E-2"/>
                  <c:y val="-9.6698376503843581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3092713121843287E-3"/>
                  <c:y val="-0.17950825999691244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4119672902158909E-3"/>
                  <c:y val="-0.23009881117801501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4119672902158909E-3"/>
                  <c:y val="-0.327656144226316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baseline="0">
                    <a:solidFill>
                      <a:schemeClr val="accen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Sheet1!$A$3:$A$6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Sheet1!$B$3:$B$6</c:f>
              <c:numCache>
                <c:formatCode>0_);[Red]\(0\)</c:formatCode>
                <c:ptCount val="4"/>
                <c:pt idx="0">
                  <c:v>22700</c:v>
                </c:pt>
                <c:pt idx="1">
                  <c:v>71493</c:v>
                </c:pt>
                <c:pt idx="2">
                  <c:v>123300</c:v>
                </c:pt>
                <c:pt idx="3" formatCode="General">
                  <c:v>170920</c:v>
                </c:pt>
              </c:numCache>
            </c:numRef>
          </c:val>
        </c:ser>
        <c:dLbls>
          <c:showVal val="1"/>
        </c:dLbls>
        <c:gapWidth val="75"/>
        <c:overlap val="100"/>
        <c:axId val="78736768"/>
        <c:axId val="78759808"/>
      </c:barChart>
      <c:lineChart>
        <c:grouping val="standard"/>
        <c:ser>
          <c:idx val="1"/>
          <c:order val="1"/>
          <c:tx>
            <c:strRef>
              <c:f>Sheet1!$C$2</c:f>
              <c:strCache>
                <c:ptCount val="1"/>
                <c:pt idx="0">
                  <c:v>增速（%）</c:v>
                </c:pt>
              </c:strCache>
            </c:strRef>
          </c:tx>
          <c:spPr>
            <a:ln w="28575" cap="rnd" cmpd="sng" algn="ctr">
              <a:solidFill>
                <a:srgbClr val="FFFF00"/>
              </a:solidFill>
              <a:prstDash val="solid"/>
              <a:round/>
            </a:ln>
          </c:spPr>
          <c:marker>
            <c:spPr>
              <a:solidFill>
                <a:srgbClr val="FFFF00"/>
              </a:solidFill>
            </c:spPr>
          </c:marker>
          <c:dLbls>
            <c:dLbl>
              <c:idx val="0"/>
              <c:layout>
                <c:manualLayout>
                  <c:x val="-4.1083029014599894E-3"/>
                  <c:y val="3.154408730926665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9184043081162396E-2"/>
                  <c:y val="5.572793626335909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4147588487855202E-2"/>
                  <c:y val="6.070889894419362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0555032925682104E-3"/>
                  <c:y val="1.8548472489475203E-2"/>
                </c:manualLayout>
              </c:layout>
              <c:dLblPos val="r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Sheet1!$A$3:$A$6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Sheet1!$C$3:$C$6</c:f>
              <c:numCache>
                <c:formatCode>0.0_ </c:formatCode>
                <c:ptCount val="4"/>
                <c:pt idx="0">
                  <c:v>1</c:v>
                </c:pt>
                <c:pt idx="1">
                  <c:v>2.2000000000000002</c:v>
                </c:pt>
                <c:pt idx="2">
                  <c:v>3.1</c:v>
                </c:pt>
                <c:pt idx="3">
                  <c:v>5</c:v>
                </c:pt>
              </c:numCache>
            </c:numRef>
          </c:val>
        </c:ser>
        <c:dLbls>
          <c:showVal val="1"/>
        </c:dLbls>
        <c:marker val="1"/>
        <c:axId val="78815232"/>
        <c:axId val="78816768"/>
      </c:lineChart>
      <c:catAx>
        <c:axId val="78736768"/>
        <c:scaling>
          <c:orientation val="minMax"/>
        </c:scaling>
        <c:axPos val="b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8759808"/>
        <c:crosses val="autoZero"/>
        <c:auto val="1"/>
        <c:lblAlgn val="ctr"/>
        <c:lblOffset val="100"/>
      </c:catAx>
      <c:valAx>
        <c:axId val="787598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bg1"/>
              </a:solidFill>
              <a:prstDash val="solid"/>
              <a:round/>
            </a:ln>
          </c:spPr>
        </c:majorGridlines>
        <c:numFmt formatCode="0_);[Red]\(0\)" sourceLinked="1"/>
        <c:majorTickMark val="none"/>
        <c:tickLblPos val="nextTo"/>
        <c:spPr>
          <a:ln w="9525" cap="flat" cmpd="sng" algn="ctr">
            <a:noFill/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8736768"/>
        <c:crosses val="autoZero"/>
        <c:crossBetween val="between"/>
      </c:valAx>
      <c:catAx>
        <c:axId val="78815232"/>
        <c:scaling>
          <c:orientation val="minMax"/>
        </c:scaling>
        <c:delete val="1"/>
        <c:axPos val="b"/>
        <c:tickLblPos val="none"/>
        <c:crossAx val="78816768"/>
        <c:crosses val="autoZero"/>
        <c:auto val="1"/>
        <c:lblAlgn val="ctr"/>
        <c:lblOffset val="100"/>
      </c:catAx>
      <c:valAx>
        <c:axId val="78816768"/>
        <c:scaling>
          <c:orientation val="minMax"/>
        </c:scaling>
        <c:axPos val="r"/>
        <c:numFmt formatCode="0.0_ 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8815232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0.30819482917821156"/>
          <c:y val="0.88850503062117892"/>
          <c:w val="0.45286241920591336"/>
          <c:h val="8.3717191601050026E-2"/>
        </c:manualLayout>
      </c:layout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txPr>
    <a:bodyPr/>
    <a:lstStyle/>
    <a:p>
      <a:pPr>
        <a:defRPr lang="zh-CN" baseline="0"/>
      </a:pPr>
      <a:endParaRPr lang="zh-CN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600"/>
              <a:t>2018</a:t>
            </a:r>
            <a:r>
              <a:rPr lang="zh-CN" altLang="en-US" sz="1600"/>
              <a:t>年规模以上工业增加值累计增速</a:t>
            </a:r>
            <a:r>
              <a:rPr lang="zh-CN" altLang="en-US"/>
              <a:t> </a:t>
            </a:r>
          </a:p>
        </c:rich>
      </c:tx>
      <c:layout>
        <c:manualLayout>
          <c:xMode val="edge"/>
          <c:yMode val="edge"/>
          <c:x val="0.22229446448544951"/>
          <c:y val="4.0224624493000703E-2"/>
        </c:manualLayout>
      </c:layout>
    </c:title>
    <c:plotArea>
      <c:layout>
        <c:manualLayout>
          <c:layoutTarget val="inner"/>
          <c:xMode val="edge"/>
          <c:yMode val="edge"/>
          <c:x val="0.10220994475138186"/>
          <c:y val="0.35009057971014745"/>
          <c:w val="0.89433701657459375"/>
          <c:h val="0.64288949275362939"/>
        </c:manualLayout>
      </c:layout>
      <c:lineChart>
        <c:grouping val="standard"/>
        <c:ser>
          <c:idx val="0"/>
          <c:order val="0"/>
          <c:tx>
            <c:strRef>
              <c:f>Sheet1!$Z$3:$Z$5</c:f>
              <c:strCache>
                <c:ptCount val="1"/>
                <c:pt idx="0">
                  <c:v>2017年规模以上工业增加值及累计增速 增加值累计（万元）</c:v>
                </c:pt>
              </c:strCache>
            </c:strRef>
          </c:tx>
          <c:cat>
            <c:strRef>
              <c:f>Sheet1!$Y$6:$Y$16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Sheet1!$Z$6:$Z$16</c:f>
            </c:numRef>
          </c:val>
        </c:ser>
        <c:ser>
          <c:idx val="1"/>
          <c:order val="1"/>
          <c:tx>
            <c:strRef>
              <c:f>Sheet1!$AA$5</c:f>
              <c:strCache>
                <c:ptCount val="1"/>
                <c:pt idx="0">
                  <c:v>累计增速（%）</c:v>
                </c:pt>
              </c:strCache>
            </c:strRef>
          </c:tx>
          <c:dLbls>
            <c:dLbl>
              <c:idx val="0"/>
              <c:layout>
                <c:manualLayout>
                  <c:x val="-2.8222013170272814E-2"/>
                  <c:y val="-6.801185408305932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327742016725802E-2"/>
                  <c:y val="-3.608541728629829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60405156537753E-3"/>
                  <c:y val="-6.738544474393551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8416206261510103E-2"/>
                  <c:y val="-6.738544474393551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1510128913443801E-2"/>
                  <c:y val="-4.492398355865902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3020257826887698E-3"/>
                  <c:y val="-4.043126684636113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0718232044198905E-2"/>
                  <c:y val="-4.043126684636113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9.2081031307550687E-3"/>
                  <c:y val="-2.695453162694280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6.9060773480663475E-3"/>
                  <c:y val="-2.6954177897574389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2.3020257826887706E-2"/>
                  <c:y val="-5.390835579514807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Sheet1!$Y$6:$Y$16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Sheet1!$AA$6:$AA$16</c:f>
              <c:numCache>
                <c:formatCode>0.0_ </c:formatCode>
                <c:ptCount val="11"/>
                <c:pt idx="0">
                  <c:v>-5.9</c:v>
                </c:pt>
                <c:pt idx="1">
                  <c:v>-17.8</c:v>
                </c:pt>
                <c:pt idx="2">
                  <c:v>-18.100000000000001</c:v>
                </c:pt>
                <c:pt idx="3">
                  <c:v>-27.4</c:v>
                </c:pt>
                <c:pt idx="4">
                  <c:v>-37</c:v>
                </c:pt>
                <c:pt idx="5">
                  <c:v>-37.700000000000003</c:v>
                </c:pt>
                <c:pt idx="6">
                  <c:v>-44.7</c:v>
                </c:pt>
                <c:pt idx="7">
                  <c:v>-47.2</c:v>
                </c:pt>
                <c:pt idx="8">
                  <c:v>-47.8</c:v>
                </c:pt>
                <c:pt idx="9">
                  <c:v>-49.7</c:v>
                </c:pt>
                <c:pt idx="10">
                  <c:v>-47.1</c:v>
                </c:pt>
              </c:numCache>
            </c:numRef>
          </c:val>
        </c:ser>
        <c:marker val="1"/>
        <c:axId val="87163264"/>
        <c:axId val="87165184"/>
      </c:lineChart>
      <c:catAx>
        <c:axId val="87163264"/>
        <c:scaling>
          <c:orientation val="minMax"/>
        </c:scaling>
        <c:axPos val="b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7165184"/>
        <c:crosses val="autoZero"/>
        <c:auto val="1"/>
        <c:lblAlgn val="ctr"/>
        <c:lblOffset val="100"/>
      </c:catAx>
      <c:valAx>
        <c:axId val="87165184"/>
        <c:scaling>
          <c:orientation val="minMax"/>
        </c:scaling>
        <c:axPos val="l"/>
        <c:majorGridlines/>
        <c:numFmt formatCode="0.0_ " sourceLinked="1"/>
        <c:majorTickMark val="none"/>
        <c:tickLblPos val="nextTo"/>
        <c:spPr>
          <a:ln w="9525" cap="flat" cmpd="sng" algn="ctr">
            <a:noFill/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7163264"/>
        <c:crosses val="autoZero"/>
        <c:crossBetween val="between"/>
      </c:valAx>
    </c:plotArea>
    <c:legend>
      <c:legendPos val="b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txPr>
    <a:bodyPr/>
    <a:lstStyle/>
    <a:p>
      <a:pPr>
        <a:defRPr lang="zh-CN"/>
      </a:pPr>
      <a:endParaRPr lang="zh-CN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22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6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2018</a:t>
            </a:r>
            <a:r>
              <a:rPr lang="zh-CN"/>
              <a:t>年</a:t>
            </a:r>
            <a:r>
              <a:rPr lang="en-US"/>
              <a:t>500</a:t>
            </a:r>
            <a:r>
              <a:rPr lang="zh-CN"/>
              <a:t>万元以上固定资产投资累计增速</a:t>
            </a:r>
          </a:p>
        </c:rich>
      </c:tx>
      <c:layout>
        <c:manualLayout>
          <c:xMode val="edge"/>
          <c:yMode val="edge"/>
          <c:x val="0.16805023666491359"/>
          <c:y val="1.8472424542460453E-2"/>
        </c:manualLayout>
      </c:layout>
    </c:title>
    <c:plotArea>
      <c:layout>
        <c:manualLayout>
          <c:layoutTarget val="inner"/>
          <c:xMode val="edge"/>
          <c:yMode val="edge"/>
          <c:x val="7.1350043975373811E-2"/>
          <c:y val="0.15652006913770022"/>
          <c:w val="0.90578276165347404"/>
          <c:h val="0.64778183214904173"/>
        </c:manualLayout>
      </c:layout>
      <c:lineChart>
        <c:grouping val="stacked"/>
        <c:ser>
          <c:idx val="0"/>
          <c:order val="0"/>
          <c:tx>
            <c:strRef>
              <c:f>Sheet1!$S$3:$S$5</c:f>
              <c:strCache>
                <c:ptCount val="1"/>
                <c:pt idx="0">
                  <c:v>2017年500万元以上固定资产投资及累计增速 累计投资（万元）</c:v>
                </c:pt>
              </c:strCache>
            </c:strRef>
          </c:tx>
          <c:cat>
            <c:strRef>
              <c:f>Sheet1!$R$6:$R$14</c:f>
              <c:strCache>
                <c:ptCount val="9"/>
                <c:pt idx="0">
                  <c:v>1-4月</c:v>
                </c:pt>
                <c:pt idx="1">
                  <c:v>1-5月</c:v>
                </c:pt>
                <c:pt idx="2">
                  <c:v>1-6月</c:v>
                </c:pt>
                <c:pt idx="3">
                  <c:v>1-7月</c:v>
                </c:pt>
                <c:pt idx="4">
                  <c:v>1-8月</c:v>
                </c:pt>
                <c:pt idx="5">
                  <c:v>1-9月</c:v>
                </c:pt>
                <c:pt idx="6">
                  <c:v>1-10月</c:v>
                </c:pt>
                <c:pt idx="7">
                  <c:v>1-11月</c:v>
                </c:pt>
                <c:pt idx="8">
                  <c:v>1-12月</c:v>
                </c:pt>
              </c:strCache>
            </c:strRef>
          </c:cat>
          <c:val>
            <c:numRef>
              <c:f>Sheet1!$S$6:$S$14</c:f>
            </c:numRef>
          </c:val>
        </c:ser>
        <c:ser>
          <c:idx val="1"/>
          <c:order val="1"/>
          <c:tx>
            <c:strRef>
              <c:f>Sheet1!$T$5</c:f>
              <c:strCache>
                <c:ptCount val="1"/>
                <c:pt idx="0">
                  <c:v>累计增速（%）</c:v>
                </c:pt>
              </c:strCache>
            </c:strRef>
          </c:tx>
          <c:dLbls>
            <c:dLbl>
              <c:idx val="4"/>
              <c:layout>
                <c:manualLayout>
                  <c:x val="-4.6883911971022534E-2"/>
                  <c:y val="6.1986226507635522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5.1587580832734514E-2"/>
                  <c:y val="6.6652093486339395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5.1587580832734584E-2"/>
                  <c:y val="6.6652093486339395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4.9235746401878486E-2"/>
                  <c:y val="7.5983827443747834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2.8509048081125605E-2"/>
                  <c:y val="8.0649694422451915E-2"/>
                </c:manualLayout>
              </c:layout>
              <c:dLblPos val="r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Sheet1!$R$6:$R$14</c:f>
              <c:strCache>
                <c:ptCount val="9"/>
                <c:pt idx="0">
                  <c:v>1-4月</c:v>
                </c:pt>
                <c:pt idx="1">
                  <c:v>1-5月</c:v>
                </c:pt>
                <c:pt idx="2">
                  <c:v>1-6月</c:v>
                </c:pt>
                <c:pt idx="3">
                  <c:v>1-7月</c:v>
                </c:pt>
                <c:pt idx="4">
                  <c:v>1-8月</c:v>
                </c:pt>
                <c:pt idx="5">
                  <c:v>1-9月</c:v>
                </c:pt>
                <c:pt idx="6">
                  <c:v>1-10月</c:v>
                </c:pt>
                <c:pt idx="7">
                  <c:v>1-11月</c:v>
                </c:pt>
                <c:pt idx="8">
                  <c:v>1-12月</c:v>
                </c:pt>
              </c:strCache>
            </c:strRef>
          </c:cat>
          <c:val>
            <c:numRef>
              <c:f>Sheet1!$T$6:$T$14</c:f>
              <c:numCache>
                <c:formatCode>0.0_ </c:formatCode>
                <c:ptCount val="9"/>
                <c:pt idx="0">
                  <c:v>117.4</c:v>
                </c:pt>
                <c:pt idx="1">
                  <c:v>-88.2</c:v>
                </c:pt>
                <c:pt idx="2">
                  <c:v>-84.8</c:v>
                </c:pt>
                <c:pt idx="3">
                  <c:v>-87.4</c:v>
                </c:pt>
                <c:pt idx="4">
                  <c:v>-61.2</c:v>
                </c:pt>
                <c:pt idx="5">
                  <c:v>-52.6</c:v>
                </c:pt>
                <c:pt idx="6">
                  <c:v>-52.3</c:v>
                </c:pt>
                <c:pt idx="7">
                  <c:v>-50.2</c:v>
                </c:pt>
                <c:pt idx="8">
                  <c:v>-50.2</c:v>
                </c:pt>
              </c:numCache>
            </c:numRef>
          </c:val>
        </c:ser>
        <c:marker val="1"/>
        <c:axId val="111216128"/>
        <c:axId val="111250816"/>
      </c:lineChart>
      <c:catAx>
        <c:axId val="111216128"/>
        <c:scaling>
          <c:orientation val="minMax"/>
        </c:scaling>
        <c:axPos val="b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11250816"/>
        <c:crosses val="autoZero"/>
        <c:auto val="1"/>
        <c:lblAlgn val="ctr"/>
        <c:lblOffset val="100"/>
      </c:catAx>
      <c:valAx>
        <c:axId val="111250816"/>
        <c:scaling>
          <c:orientation val="minMax"/>
        </c:scaling>
        <c:axPos val="l"/>
        <c:numFmt formatCode="0.0_ 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11216128"/>
        <c:crosses val="autoZero"/>
        <c:crossBetween val="between"/>
      </c:valAx>
    </c:plotArea>
    <c:legend>
      <c:legendPos val="b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</c:chart>
  <c:txPr>
    <a:bodyPr/>
    <a:lstStyle/>
    <a:p>
      <a:pPr>
        <a:defRPr lang="zh-CN"/>
      </a:pPr>
      <a:endParaRPr lang="zh-CN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31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6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600"/>
              <a:t>2018</a:t>
            </a:r>
            <a:r>
              <a:rPr lang="zh-CN" sz="1600"/>
              <a:t>年社会消费品零售总额及增速</a:t>
            </a:r>
            <a:endParaRPr lang="en-US" altLang="zh-CN" sz="1600"/>
          </a:p>
          <a:p>
            <a:pPr>
              <a:defRPr lang="zh-CN" sz="16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sz="1600"/>
              <a:t>（季度累计）</a:t>
            </a:r>
          </a:p>
        </c:rich>
      </c:tx>
      <c:layout>
        <c:manualLayout>
          <c:xMode val="edge"/>
          <c:yMode val="edge"/>
          <c:x val="0.26259398078532753"/>
          <c:y val="2.2768189789726051E-3"/>
        </c:manualLayout>
      </c:layout>
    </c:title>
    <c:plotArea>
      <c:layout>
        <c:manualLayout>
          <c:layoutTarget val="inner"/>
          <c:xMode val="edge"/>
          <c:yMode val="edge"/>
          <c:x val="7.7121227750461332E-2"/>
          <c:y val="0.16737863287162141"/>
          <c:w val="0.85597399397127805"/>
          <c:h val="0.68850463908060899"/>
        </c:manualLayout>
      </c:layout>
      <c:barChart>
        <c:barDir val="col"/>
        <c:grouping val="stacked"/>
        <c:ser>
          <c:idx val="0"/>
          <c:order val="0"/>
          <c:tx>
            <c:strRef>
              <c:f>[公报图表数据.xlsx]Sheet1!$B$16</c:f>
              <c:strCache>
                <c:ptCount val="1"/>
                <c:pt idx="0">
                  <c:v>总量（万元）</c:v>
                </c:pt>
              </c:strCache>
            </c:strRef>
          </c:tx>
          <c:dLbls>
            <c:dLbl>
              <c:idx val="0"/>
              <c:layout>
                <c:manualLayout>
                  <c:x val="4.0899795501022507E-3"/>
                  <c:y val="-0.10273972602739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449897750511479E-3"/>
                  <c:y val="-0.15981735159817551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9624981375144036E-3"/>
                  <c:y val="-0.2814206788082804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0900182237045713E-3"/>
                  <c:y val="-0.36070008812767174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[公报图表数据.xlsx]Sheet1!$A$17:$A$20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[公报图表数据.xlsx]Sheet1!$B$17:$B$20</c:f>
              <c:numCache>
                <c:formatCode>General</c:formatCode>
                <c:ptCount val="4"/>
                <c:pt idx="0">
                  <c:v>19698</c:v>
                </c:pt>
                <c:pt idx="1">
                  <c:v>36388</c:v>
                </c:pt>
                <c:pt idx="2">
                  <c:v>59688.9</c:v>
                </c:pt>
                <c:pt idx="3">
                  <c:v>84208</c:v>
                </c:pt>
              </c:numCache>
            </c:numRef>
          </c:val>
        </c:ser>
        <c:dLbls>
          <c:showVal val="1"/>
        </c:dLbls>
        <c:gapWidth val="75"/>
        <c:overlap val="100"/>
        <c:axId val="120910208"/>
        <c:axId val="121306112"/>
      </c:barChart>
      <c:lineChart>
        <c:grouping val="standard"/>
        <c:ser>
          <c:idx val="1"/>
          <c:order val="1"/>
          <c:tx>
            <c:strRef>
              <c:f>[公报图表数据.xlsx]Sheet1!$C$16</c:f>
              <c:strCache>
                <c:ptCount val="1"/>
                <c:pt idx="0">
                  <c:v>增速（%）</c:v>
                </c:pt>
              </c:strCache>
            </c:strRef>
          </c:tx>
          <c:dLbls>
            <c:dLbl>
              <c:idx val="0"/>
              <c:layout>
                <c:manualLayout>
                  <c:x val="-4.2944785276073566E-2"/>
                  <c:y val="-4.946727549467279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2719836400818006E-2"/>
                  <c:y val="-5.707762557077632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7549914612201858E-2"/>
                  <c:y val="-1.0674751056881249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8629856850715701E-2"/>
                  <c:y val="-5.707762557077632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[公报图表数据.xlsx]Sheet1!$A$17:$A$20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[公报图表数据.xlsx]Sheet1!$C$17:$C$20</c:f>
              <c:numCache>
                <c:formatCode>0.0_ </c:formatCode>
                <c:ptCount val="4"/>
                <c:pt idx="0">
                  <c:v>6.6</c:v>
                </c:pt>
                <c:pt idx="1">
                  <c:v>6</c:v>
                </c:pt>
                <c:pt idx="2">
                  <c:v>6.2</c:v>
                </c:pt>
                <c:pt idx="3">
                  <c:v>5.6</c:v>
                </c:pt>
              </c:numCache>
            </c:numRef>
          </c:val>
        </c:ser>
        <c:dLbls>
          <c:showVal val="1"/>
        </c:dLbls>
        <c:marker val="1"/>
        <c:axId val="87225088"/>
        <c:axId val="87226624"/>
      </c:lineChart>
      <c:catAx>
        <c:axId val="120910208"/>
        <c:scaling>
          <c:orientation val="minMax"/>
        </c:scaling>
        <c:axPos val="b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1306112"/>
        <c:crosses val="autoZero"/>
        <c:auto val="1"/>
        <c:lblAlgn val="ctr"/>
        <c:lblOffset val="100"/>
      </c:catAx>
      <c:valAx>
        <c:axId val="12130611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0910208"/>
        <c:crosses val="autoZero"/>
        <c:crossBetween val="between"/>
      </c:valAx>
      <c:catAx>
        <c:axId val="87225088"/>
        <c:scaling>
          <c:orientation val="minMax"/>
        </c:scaling>
        <c:delete val="1"/>
        <c:axPos val="b"/>
        <c:tickLblPos val="none"/>
        <c:crossAx val="87226624"/>
        <c:crosses val="autoZero"/>
        <c:auto val="1"/>
        <c:lblAlgn val="ctr"/>
        <c:lblOffset val="100"/>
      </c:catAx>
      <c:valAx>
        <c:axId val="87226624"/>
        <c:scaling>
          <c:orientation val="minMax"/>
        </c:scaling>
        <c:axPos val="r"/>
        <c:numFmt formatCode="0.0_ 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7225088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0.336080786026204"/>
          <c:y val="0.93283785466598002"/>
          <c:w val="0.48221735394552634"/>
          <c:h val="5.4996695212368926E-2"/>
        </c:manualLayout>
      </c:layout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txPr>
    <a:bodyPr/>
    <a:lstStyle/>
    <a:p>
      <a:pPr>
        <a:defRPr lang="zh-CN"/>
      </a:pPr>
      <a:endParaRPr lang="zh-CN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26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2018</a:t>
            </a:r>
            <a:r>
              <a:rPr lang="zh-CN"/>
              <a:t>年旅游人数、收入及增速（季度累计）</a:t>
            </a:r>
          </a:p>
        </c:rich>
      </c:tx>
      <c:layout>
        <c:manualLayout>
          <c:xMode val="edge"/>
          <c:yMode val="edge"/>
          <c:x val="0.193901172189542"/>
          <c:y val="2.1691973969631451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Sheet1!$AD$5</c:f>
              <c:strCache>
                <c:ptCount val="1"/>
                <c:pt idx="0">
                  <c:v>接待旅游人数累计（万人次）</c:v>
                </c:pt>
              </c:strCache>
            </c:strRef>
          </c:tx>
          <c:dLbls>
            <c:dLbl>
              <c:idx val="1"/>
              <c:layout>
                <c:manualLayout>
                  <c:x val="-9.4075229072377708E-3"/>
                  <c:y val="2.6056653730666526E-2"/>
                </c:manualLayout>
              </c:layout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1" i="0" u="none" strike="noStrike" kern="1200" baseline="0">
                    <a:solidFill>
                      <a:schemeClr val="tx2">
                        <a:lumMod val="60000"/>
                        <a:lumOff val="4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Sheet1!$AC$6:$AC$9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Sheet1!$AD$6:$AD$9</c:f>
              <c:numCache>
                <c:formatCode>0.00_ </c:formatCode>
                <c:ptCount val="4"/>
                <c:pt idx="0">
                  <c:v>52.7</c:v>
                </c:pt>
                <c:pt idx="1">
                  <c:v>120.23</c:v>
                </c:pt>
                <c:pt idx="2">
                  <c:v>330.01</c:v>
                </c:pt>
                <c:pt idx="3">
                  <c:v>431.9</c:v>
                </c:pt>
              </c:numCache>
            </c:numRef>
          </c:val>
        </c:ser>
        <c:ser>
          <c:idx val="2"/>
          <c:order val="2"/>
          <c:tx>
            <c:strRef>
              <c:f>Sheet1!$AF$5</c:f>
              <c:strCache>
                <c:ptCount val="1"/>
                <c:pt idx="0">
                  <c:v>旅游收入累计（亿元）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1" i="0" u="none" strike="noStrike" kern="1200" baseline="0">
                    <a:solidFill>
                      <a:schemeClr val="accent3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Sheet1!$AC$6:$AC$9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Sheet1!$AF$6:$AF$9</c:f>
              <c:numCache>
                <c:formatCode>0.00_);[Red]\(0.00\)</c:formatCode>
                <c:ptCount val="4"/>
                <c:pt idx="0">
                  <c:v>6.4</c:v>
                </c:pt>
                <c:pt idx="1">
                  <c:v>13.32</c:v>
                </c:pt>
                <c:pt idx="2">
                  <c:v>43.3</c:v>
                </c:pt>
                <c:pt idx="3">
                  <c:v>52.7</c:v>
                </c:pt>
              </c:numCache>
            </c:numRef>
          </c:val>
        </c:ser>
        <c:dLbls>
          <c:showVal val="1"/>
        </c:dLbls>
        <c:gapWidth val="75"/>
        <c:overlap val="-25"/>
        <c:axId val="87854080"/>
        <c:axId val="88277760"/>
      </c:barChart>
      <c:lineChart>
        <c:grouping val="standard"/>
        <c:ser>
          <c:idx val="1"/>
          <c:order val="1"/>
          <c:tx>
            <c:strRef>
              <c:f>Sheet1!$AE$5</c:f>
              <c:strCache>
                <c:ptCount val="1"/>
                <c:pt idx="0">
                  <c:v>人数累计增速（%）</c:v>
                </c:pt>
              </c:strCache>
            </c:strRef>
          </c:tx>
          <c:dLbls>
            <c:dLbl>
              <c:idx val="0"/>
              <c:layout>
                <c:manualLayout>
                  <c:x val="-4.2935206869633133E-2"/>
                  <c:y val="5.422993492407866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9032006245121015E-2"/>
                  <c:y val="-5.784526391901693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7580015612802502E-3"/>
                  <c:y val="-5.422993492407866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1709601873536309E-2"/>
                  <c:y val="-6.869125090383239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Sheet1!$AC$6:$AC$9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Sheet1!$AE$6:$AE$9</c:f>
              <c:numCache>
                <c:formatCode>0.0_ </c:formatCode>
                <c:ptCount val="4"/>
                <c:pt idx="0">
                  <c:v>10</c:v>
                </c:pt>
                <c:pt idx="1">
                  <c:v>9</c:v>
                </c:pt>
                <c:pt idx="2">
                  <c:v>11</c:v>
                </c:pt>
                <c:pt idx="3">
                  <c:v>19</c:v>
                </c:pt>
              </c:numCache>
            </c:numRef>
          </c:val>
        </c:ser>
        <c:ser>
          <c:idx val="3"/>
          <c:order val="3"/>
          <c:tx>
            <c:strRef>
              <c:f>Sheet1!$AG$5</c:f>
              <c:strCache>
                <c:ptCount val="1"/>
                <c:pt idx="0">
                  <c:v>收入累计增速（%）</c:v>
                </c:pt>
              </c:strCache>
            </c:strRef>
          </c:tx>
          <c:marker>
            <c:spPr>
              <a:ln w="9525" cap="flat" cmpd="sng" algn="ctr">
                <a:solidFill>
                  <a:schemeClr val="accent4">
                    <a:shade val="95000"/>
                    <a:satMod val="105000"/>
                  </a:schemeClr>
                </a:solidFill>
                <a:prstDash val="solid"/>
                <a:bevel/>
              </a:ln>
            </c:spPr>
          </c:marker>
          <c:dLbls>
            <c:dLbl>
              <c:idx val="0"/>
              <c:layout>
                <c:manualLayout>
                  <c:x val="-5.4644808743168904E-2"/>
                  <c:y val="-4.699927693420113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3493677824609523E-2"/>
                  <c:y val="-0.10995873679257638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9516003122560507E-2"/>
                  <c:y val="5.422993492407866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9516003122560521E-3"/>
                  <c:y val="2.8922631959508165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1" i="0" u="none" strike="noStrike" kern="1200" baseline="0">
                    <a:solidFill>
                      <a:schemeClr val="accent4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Sheet1!$AC$6:$AC$9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Sheet1!$AG$6:$AG$9</c:f>
              <c:numCache>
                <c:formatCode>0.0_);[Red]\(0.0\)</c:formatCode>
                <c:ptCount val="4"/>
                <c:pt idx="0">
                  <c:v>11</c:v>
                </c:pt>
                <c:pt idx="1">
                  <c:v>9</c:v>
                </c:pt>
                <c:pt idx="2">
                  <c:v>12</c:v>
                </c:pt>
                <c:pt idx="3">
                  <c:v>20</c:v>
                </c:pt>
              </c:numCache>
            </c:numRef>
          </c:val>
        </c:ser>
        <c:dLbls>
          <c:showVal val="1"/>
        </c:dLbls>
        <c:marker val="1"/>
        <c:axId val="88279296"/>
        <c:axId val="88289280"/>
      </c:lineChart>
      <c:catAx>
        <c:axId val="87854080"/>
        <c:scaling>
          <c:orientation val="minMax"/>
        </c:scaling>
        <c:axPos val="b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8277760"/>
        <c:crosses val="autoZero"/>
        <c:auto val="1"/>
        <c:lblAlgn val="ctr"/>
        <c:lblOffset val="100"/>
      </c:catAx>
      <c:valAx>
        <c:axId val="882777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bg1">
                  <a:alpha val="0"/>
                </a:schemeClr>
              </a:solidFill>
              <a:prstDash val="solid"/>
              <a:round/>
            </a:ln>
          </c:spPr>
        </c:majorGridlines>
        <c:numFmt formatCode="0.00_ 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7854080"/>
        <c:crosses val="autoZero"/>
        <c:crossBetween val="between"/>
      </c:valAx>
      <c:catAx>
        <c:axId val="88279296"/>
        <c:scaling>
          <c:orientation val="minMax"/>
        </c:scaling>
        <c:delete val="1"/>
        <c:axPos val="b"/>
        <c:tickLblPos val="none"/>
        <c:crossAx val="88289280"/>
        <c:crosses val="autoZero"/>
        <c:auto val="1"/>
        <c:lblAlgn val="ctr"/>
        <c:lblOffset val="100"/>
      </c:catAx>
      <c:valAx>
        <c:axId val="88289280"/>
        <c:scaling>
          <c:orientation val="minMax"/>
        </c:scaling>
        <c:axPos val="r"/>
        <c:numFmt formatCode="0.0_ 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8279296"/>
        <c:crosses val="max"/>
        <c:crossBetween val="between"/>
      </c:valAx>
    </c:plotArea>
    <c:legend>
      <c:legendPos val="b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txPr>
    <a:bodyPr/>
    <a:lstStyle/>
    <a:p>
      <a:pPr>
        <a:defRPr lang="zh-CN"/>
      </a:pPr>
      <a:endParaRPr lang="zh-CN"/>
    </a:p>
  </c:tx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29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600"/>
              <a:t>2018</a:t>
            </a:r>
            <a:r>
              <a:rPr lang="zh-CN" sz="1600"/>
              <a:t>年城镇常住居民人均可支配收入及增速（季度累计）</a:t>
            </a:r>
          </a:p>
        </c:rich>
      </c:tx>
      <c:layout>
        <c:manualLayout>
          <c:xMode val="edge"/>
          <c:yMode val="edge"/>
          <c:x val="0.16865986177880163"/>
          <c:y val="1.5985720690754743E-2"/>
        </c:manualLayout>
      </c:layout>
    </c:title>
    <c:plotArea>
      <c:layout/>
      <c:barChart>
        <c:barDir val="col"/>
        <c:grouping val="stacked"/>
        <c:ser>
          <c:idx val="0"/>
          <c:order val="0"/>
          <c:tx>
            <c:strRef>
              <c:f>Sheet1!$B$25</c:f>
              <c:strCache>
                <c:ptCount val="1"/>
                <c:pt idx="0">
                  <c:v>总量（万元）</c:v>
                </c:pt>
              </c:strCache>
            </c:strRef>
          </c:tx>
          <c:spPr>
            <a:gradFill>
              <a:gsLst>
                <a:gs pos="0">
                  <a:srgbClr val="CCCCFF"/>
                </a:gs>
                <a:gs pos="17999">
                  <a:srgbClr val="99CCFF"/>
                </a:gs>
                <a:gs pos="36000">
                  <a:srgbClr val="9966FF"/>
                </a:gs>
                <a:gs pos="61000">
                  <a:srgbClr val="CC99FF"/>
                </a:gs>
                <a:gs pos="82001">
                  <a:srgbClr val="99CCFF"/>
                </a:gs>
                <a:gs pos="100000">
                  <a:srgbClr val="CCCCFF"/>
                </a:gs>
              </a:gsLst>
              <a:lin ang="2700000" scaled="0"/>
            </a:gradFill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relaxedInset"/>
            </a:sp3d>
          </c:spPr>
          <c:dLbls>
            <c:dLbl>
              <c:idx val="0"/>
              <c:layout>
                <c:manualLayout>
                  <c:x val="7.7609623593325834E-3"/>
                  <c:y val="-0.10273972602739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819001340730809E-3"/>
                  <c:y val="-0.12384411565236955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9402405898331664E-3"/>
                  <c:y val="-0.26255707762557101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9402551170132267E-3"/>
                  <c:y val="-0.3234398782344032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50" b="1" i="0" u="none" strike="noStrike" kern="1200" baseline="0">
                    <a:solidFill>
                      <a:schemeClr val="tx2">
                        <a:lumMod val="60000"/>
                        <a:lumOff val="4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Sheet1!$A$26:$A$29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Sheet1!$B$26:$B$29</c:f>
              <c:numCache>
                <c:formatCode>0_ </c:formatCode>
                <c:ptCount val="4"/>
                <c:pt idx="0">
                  <c:v>7403</c:v>
                </c:pt>
                <c:pt idx="1">
                  <c:v>14051</c:v>
                </c:pt>
                <c:pt idx="2">
                  <c:v>23156</c:v>
                </c:pt>
                <c:pt idx="3">
                  <c:v>27981</c:v>
                </c:pt>
              </c:numCache>
            </c:numRef>
          </c:val>
        </c:ser>
        <c:dLbls>
          <c:showVal val="1"/>
        </c:dLbls>
        <c:gapWidth val="75"/>
        <c:overlap val="100"/>
        <c:axId val="88309120"/>
        <c:axId val="88802432"/>
      </c:barChart>
      <c:lineChart>
        <c:grouping val="standard"/>
        <c:ser>
          <c:idx val="1"/>
          <c:order val="1"/>
          <c:tx>
            <c:strRef>
              <c:f>Sheet1!$C$25</c:f>
              <c:strCache>
                <c:ptCount val="1"/>
                <c:pt idx="0">
                  <c:v>增速（%）</c:v>
                </c:pt>
              </c:strCache>
            </c:strRef>
          </c:tx>
          <c:spPr>
            <a:ln w="66675" cap="flat" cmpd="sng" algn="ctr">
              <a:solidFill>
                <a:schemeClr val="accent5"/>
              </a:solidFill>
              <a:prstDash val="solid"/>
              <a:miter lim="800000"/>
              <a:headEnd type="none" w="sm" len="sm"/>
            </a:ln>
            <a:effectLst/>
          </c:spPr>
          <c:marker>
            <c:symbol val="diamond"/>
            <c:size val="13"/>
            <c:spPr>
              <a:gradFill flip="none" rotWithShape="1">
                <a:gsLst>
                  <a:gs pos="0">
                    <a:srgbClr val="FFEFD1"/>
                  </a:gs>
                  <a:gs pos="64999">
                    <a:srgbClr val="F0EBD5"/>
                  </a:gs>
                  <a:gs pos="100000">
                    <a:srgbClr val="D1C39F"/>
                  </a:gs>
                </a:gsLst>
                <a:lin ang="2700000" scaled="0"/>
                <a:tileRect/>
              </a:gradFill>
              <a:ln w="9525" cap="sq" cmpd="sng" algn="ctr">
                <a:solidFill>
                  <a:schemeClr val="accent3">
                    <a:tint val="76667"/>
                    <a:shade val="95000"/>
                    <a:satMod val="105000"/>
                  </a:schemeClr>
                </a:solidFill>
                <a:prstDash val="solid"/>
                <a:beve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Pt>
            <c:idx val="1"/>
            <c:spPr>
              <a:ln w="66675" cap="flat" cmpd="sng" algn="ctr">
                <a:gradFill>
                  <a:gsLst>
                    <a:gs pos="0">
                      <a:srgbClr val="FBEAC7"/>
                    </a:gs>
                    <a:gs pos="17999">
                      <a:srgbClr val="FEE7F2"/>
                    </a:gs>
                    <a:gs pos="36000">
                      <a:srgbClr val="FAC77D"/>
                    </a:gs>
                    <a:gs pos="61000">
                      <a:srgbClr val="FBA97D"/>
                    </a:gs>
                    <a:gs pos="82001">
                      <a:srgbClr val="FBD49C"/>
                    </a:gs>
                    <a:gs pos="100000">
                      <a:srgbClr val="FEE7F2"/>
                    </a:gs>
                  </a:gsLst>
                  <a:lin ang="5400000" scaled="0"/>
                </a:gradFill>
                <a:prstDash val="solid"/>
                <a:miter lim="800000"/>
                <a:headEnd type="none" w="sm" len="sm"/>
              </a:ln>
              <a:effectLst/>
            </c:spPr>
          </c:dPt>
          <c:dPt>
            <c:idx val="2"/>
            <c:spPr>
              <a:ln w="66675" cap="flat" cmpd="sng" algn="ctr">
                <a:gradFill>
                  <a:gsLst>
                    <a:gs pos="0">
                      <a:srgbClr val="FBEAC7"/>
                    </a:gs>
                    <a:gs pos="17999">
                      <a:srgbClr val="FEE7F2"/>
                    </a:gs>
                    <a:gs pos="36000">
                      <a:srgbClr val="FAC77D"/>
                    </a:gs>
                    <a:gs pos="61000">
                      <a:srgbClr val="FBA97D"/>
                    </a:gs>
                    <a:gs pos="82001">
                      <a:srgbClr val="FBD49C"/>
                    </a:gs>
                    <a:gs pos="100000">
                      <a:srgbClr val="FEE7F2"/>
                    </a:gs>
                  </a:gsLst>
                  <a:lin ang="5400000" scaled="0"/>
                </a:gradFill>
                <a:prstDash val="solid"/>
                <a:miter lim="800000"/>
                <a:headEnd type="none" w="sm" len="sm"/>
              </a:ln>
              <a:effectLst/>
            </c:spPr>
          </c:dPt>
          <c:dPt>
            <c:idx val="3"/>
            <c:spPr>
              <a:ln w="66675" cap="flat" cmpd="sng" algn="ctr">
                <a:gradFill>
                  <a:gsLst>
                    <a:gs pos="0">
                      <a:srgbClr val="FBEAC7"/>
                    </a:gs>
                    <a:gs pos="17999">
                      <a:srgbClr val="FEE7F2"/>
                    </a:gs>
                    <a:gs pos="36000">
                      <a:srgbClr val="FAC77D"/>
                    </a:gs>
                    <a:gs pos="61000">
                      <a:srgbClr val="FBA97D"/>
                    </a:gs>
                    <a:gs pos="82001">
                      <a:srgbClr val="FBD49C"/>
                    </a:gs>
                    <a:gs pos="100000">
                      <a:srgbClr val="FEE7F2"/>
                    </a:gs>
                  </a:gsLst>
                  <a:lin ang="5400000" scaled="0"/>
                </a:gradFill>
                <a:prstDash val="solid"/>
                <a:miter lim="800000"/>
                <a:headEnd type="none" w="sm" len="sm"/>
              </a:ln>
              <a:effectLst/>
            </c:spPr>
          </c:dPt>
          <c:dLbls>
            <c:dLbl>
              <c:idx val="0"/>
              <c:layout>
                <c:manualLayout>
                  <c:x val="-3.6864571206829601E-2"/>
                  <c:y val="-6.849315068493151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4924330616996499E-2"/>
                  <c:y val="-6.849315068493151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8804811796662814E-2"/>
                  <c:y val="7.229832572298321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9662138627656512E-4"/>
                  <c:y val="-1.5220700152207432E-3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Sheet1!$A$26:$A$29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Sheet1!$C$26:$C$29</c:f>
              <c:numCache>
                <c:formatCode>0.0_ </c:formatCode>
                <c:ptCount val="4"/>
                <c:pt idx="0">
                  <c:v>7.5</c:v>
                </c:pt>
                <c:pt idx="1">
                  <c:v>7.3</c:v>
                </c:pt>
                <c:pt idx="2">
                  <c:v>7</c:v>
                </c:pt>
                <c:pt idx="3">
                  <c:v>7.4</c:v>
                </c:pt>
              </c:numCache>
            </c:numRef>
          </c:val>
        </c:ser>
        <c:dLbls>
          <c:showVal val="1"/>
        </c:dLbls>
        <c:marker val="1"/>
        <c:axId val="88803968"/>
        <c:axId val="88809856"/>
      </c:lineChart>
      <c:catAx>
        <c:axId val="88309120"/>
        <c:scaling>
          <c:orientation val="minMax"/>
        </c:scaling>
        <c:axPos val="b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8802432"/>
        <c:crosses val="autoZero"/>
        <c:auto val="1"/>
        <c:lblAlgn val="ctr"/>
        <c:lblOffset val="100"/>
      </c:catAx>
      <c:valAx>
        <c:axId val="88802432"/>
        <c:scaling>
          <c:orientation val="minMax"/>
        </c:scaling>
        <c:axPos val="l"/>
        <c:majorGridlines/>
        <c:numFmt formatCode="0_ 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8309120"/>
        <c:crosses val="autoZero"/>
        <c:crossBetween val="between"/>
      </c:valAx>
      <c:catAx>
        <c:axId val="88803968"/>
        <c:scaling>
          <c:orientation val="minMax"/>
        </c:scaling>
        <c:delete val="1"/>
        <c:axPos val="b"/>
        <c:tickLblPos val="none"/>
        <c:crossAx val="88809856"/>
        <c:crosses val="autoZero"/>
        <c:auto val="1"/>
        <c:lblAlgn val="ctr"/>
        <c:lblOffset val="100"/>
      </c:catAx>
      <c:valAx>
        <c:axId val="88809856"/>
        <c:scaling>
          <c:orientation val="minMax"/>
        </c:scaling>
        <c:axPos val="r"/>
        <c:numFmt formatCode="0.0_ 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8803968"/>
        <c:crosses val="max"/>
        <c:crossBetween val="between"/>
      </c:valAx>
    </c:plotArea>
    <c:legend>
      <c:legendPos val="b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txPr>
    <a:bodyPr/>
    <a:lstStyle/>
    <a:p>
      <a:pPr>
        <a:defRPr lang="zh-CN"/>
      </a:pPr>
      <a:endParaRPr lang="zh-CN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0.05355</cdr:x>
      <cdr:y>0</cdr:y>
    </cdr:from>
    <cdr:to>
      <cdr:x>0.19067</cdr:x>
      <cdr:y>0.08334</cdr:y>
    </cdr:to>
    <cdr:sp macro="" textlink="">
      <cdr:nvSpPr>
        <cdr:cNvPr id="2" name="矩形 1"/>
        <cdr:cNvSpPr/>
      </cdr:nvSpPr>
      <cdr:spPr>
        <a:xfrm xmlns:a="http://schemas.openxmlformats.org/drawingml/2006/main">
          <a:off x="352936" y="0"/>
          <a:ext cx="903799" cy="2762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  <cdr:relSizeAnchor xmlns:cdr="http://schemas.openxmlformats.org/drawingml/2006/chartDrawing">
    <cdr:from>
      <cdr:x>0.08864</cdr:x>
      <cdr:y>0.02222</cdr:y>
    </cdr:from>
    <cdr:to>
      <cdr:x>0.24377</cdr:x>
      <cdr:y>0.11389</cdr:y>
    </cdr:to>
    <cdr:sp macro="" textlink="">
      <cdr:nvSpPr>
        <cdr:cNvPr id="3" name="矩形 2"/>
        <cdr:cNvSpPr/>
      </cdr:nvSpPr>
      <cdr:spPr>
        <a:xfrm xmlns:a="http://schemas.openxmlformats.org/drawingml/2006/main">
          <a:off x="487680" y="60960"/>
          <a:ext cx="853440" cy="2514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CN" altLang="en-US" sz="1400" b="1"/>
            <a:t>图</a:t>
          </a:r>
          <a:r>
            <a:rPr lang="en-US" altLang="zh-CN" sz="1400" b="1"/>
            <a:t>1</a:t>
          </a:r>
          <a:endParaRPr lang="zh-CN" altLang="en-US" sz="1400" b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0.10482</cdr:x>
      <cdr:y>0.03889</cdr:y>
    </cdr:from>
    <cdr:to>
      <cdr:x>0.22946</cdr:x>
      <cdr:y>0.17868</cdr:y>
    </cdr:to>
    <cdr:sp macro="" textlink="">
      <cdr:nvSpPr>
        <cdr:cNvPr id="2" name="矩形 1"/>
        <cdr:cNvSpPr/>
      </cdr:nvSpPr>
      <cdr:spPr>
        <a:xfrm xmlns:a="http://schemas.openxmlformats.org/drawingml/2006/main">
          <a:off x="566032" y="94406"/>
          <a:ext cx="673061" cy="339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CN" altLang="en-US" sz="1600" b="1"/>
            <a:t>图</a:t>
          </a:r>
          <a:r>
            <a:rPr lang="en-US" altLang="zh-CN" sz="1600" b="1"/>
            <a:t>2</a:t>
          </a:r>
          <a:endParaRPr lang="zh-CN" altLang="en-US" sz="1600" b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0.05624</cdr:x>
      <cdr:y>0.01272</cdr:y>
    </cdr:from>
    <cdr:to>
      <cdr:x>0.19479</cdr:x>
      <cdr:y>0.1145</cdr:y>
    </cdr:to>
    <cdr:sp macro="" textlink="">
      <cdr:nvSpPr>
        <cdr:cNvPr id="2" name="矩形 1"/>
        <cdr:cNvSpPr/>
      </cdr:nvSpPr>
      <cdr:spPr>
        <a:xfrm xmlns:a="http://schemas.openxmlformats.org/drawingml/2006/main">
          <a:off x="312420" y="38100"/>
          <a:ext cx="76962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CN" altLang="en-US" sz="1400" b="1"/>
            <a:t>图</a:t>
          </a:r>
          <a:r>
            <a:rPr lang="en-US" altLang="zh-CN" sz="1400" b="1"/>
            <a:t>3</a:t>
          </a:r>
          <a:endParaRPr lang="zh-CN" altLang="en-US" sz="1400" b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0.07489</cdr:x>
      <cdr:y>0.02244</cdr:y>
    </cdr:from>
    <cdr:to>
      <cdr:x>0.17232</cdr:x>
      <cdr:y>0.1092</cdr:y>
    </cdr:to>
    <cdr:sp macro="" textlink="">
      <cdr:nvSpPr>
        <cdr:cNvPr id="2" name="矩形 1"/>
        <cdr:cNvSpPr/>
      </cdr:nvSpPr>
      <cdr:spPr>
        <a:xfrm xmlns:a="http://schemas.openxmlformats.org/drawingml/2006/main">
          <a:off x="404424" y="69318"/>
          <a:ext cx="526095" cy="2680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CN" altLang="en-US" sz="1400" b="1"/>
            <a:t>图 </a:t>
          </a:r>
          <a:r>
            <a:rPr lang="en-US" sz="1400" b="1"/>
            <a:t>4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0.05621</cdr:x>
      <cdr:y>0.01736</cdr:y>
    </cdr:from>
    <cdr:to>
      <cdr:x>0.19672</cdr:x>
      <cdr:y>0.14231</cdr:y>
    </cdr:to>
    <cdr:sp macro="" textlink="">
      <cdr:nvSpPr>
        <cdr:cNvPr id="2" name="矩形 1"/>
        <cdr:cNvSpPr/>
      </cdr:nvSpPr>
      <cdr:spPr>
        <a:xfrm xmlns:a="http://schemas.openxmlformats.org/drawingml/2006/main">
          <a:off x="303536" y="50767"/>
          <a:ext cx="758760" cy="3654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CN" altLang="en-US" sz="1600" b="1"/>
            <a:t>图</a:t>
          </a:r>
          <a:r>
            <a:rPr lang="en-US" altLang="zh-CN" sz="1600" b="1"/>
            <a:t>5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0.01281</cdr:x>
      <cdr:y>0.0137</cdr:y>
    </cdr:from>
    <cdr:to>
      <cdr:x>0.09779</cdr:x>
      <cdr:y>0.14231</cdr:y>
    </cdr:to>
    <cdr:sp macro="" textlink="">
      <cdr:nvSpPr>
        <cdr:cNvPr id="2" name="矩形 1"/>
        <cdr:cNvSpPr/>
      </cdr:nvSpPr>
      <cdr:spPr>
        <a:xfrm xmlns:a="http://schemas.openxmlformats.org/drawingml/2006/main">
          <a:off x="69175" y="33856"/>
          <a:ext cx="458895" cy="3178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CN" altLang="en-US" sz="1400" b="1"/>
            <a:t>图</a:t>
          </a:r>
          <a:r>
            <a:rPr lang="en-US" sz="1400" b="1"/>
            <a:t>6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DC519A-EF83-44B2-8B0E-BCD51C41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12</Pages>
  <Words>695</Words>
  <Characters>3962</Characters>
  <Application>Microsoft Office Word</Application>
  <DocSecurity>0</DocSecurity>
  <Lines>33</Lines>
  <Paragraphs>9</Paragraphs>
  <ScaleCrop>false</ScaleCrop>
  <Company>Microsoft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131</cp:revision>
  <cp:lastPrinted>2019-05-13T00:41:00Z</cp:lastPrinted>
  <dcterms:created xsi:type="dcterms:W3CDTF">2008-09-11T17:20:00Z</dcterms:created>
  <dcterms:modified xsi:type="dcterms:W3CDTF">2019-05-13T00:47:00Z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